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6B09B53" w:rsidR="00333FAA" w:rsidRPr="00BF73E8" w:rsidRDefault="00997422" w:rsidP="00A53B04">
            <w:pPr>
              <w:rPr>
                <w:rFonts w:cs="Arial"/>
                <w:szCs w:val="24"/>
              </w:rPr>
            </w:pPr>
            <w:r w:rsidRPr="00BF73E8">
              <w:rPr>
                <w:rFonts w:cs="Arial"/>
                <w:szCs w:val="24"/>
              </w:rPr>
              <w:t>2</w:t>
            </w:r>
            <w:r w:rsidR="005C6A48" w:rsidRPr="00BF73E8">
              <w:rPr>
                <w:rFonts w:cs="Arial"/>
                <w:szCs w:val="24"/>
              </w:rPr>
              <w:t>1</w:t>
            </w:r>
            <w:r w:rsidRPr="00BF73E8">
              <w:rPr>
                <w:rFonts w:cs="Arial"/>
                <w:szCs w:val="24"/>
              </w:rPr>
              <w:t xml:space="preserve"> </w:t>
            </w:r>
            <w:r w:rsidR="007E442D" w:rsidRPr="00BF73E8">
              <w:rPr>
                <w:rFonts w:cs="Arial"/>
                <w:szCs w:val="24"/>
              </w:rPr>
              <w:t>October</w:t>
            </w:r>
            <w:r w:rsidRPr="00BF73E8">
              <w:rPr>
                <w:rFonts w:cs="Arial"/>
                <w:szCs w:val="24"/>
              </w:rPr>
              <w:t xml:space="preserve">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253AC9E0" w:rsidR="00333FAA" w:rsidRPr="005E3A10" w:rsidRDefault="001E5374" w:rsidP="00A53B04">
            <w:pPr>
              <w:rPr>
                <w:rFonts w:cs="Arial"/>
                <w:szCs w:val="24"/>
              </w:rPr>
            </w:pPr>
            <w:r w:rsidRPr="00BF73E8">
              <w:rPr>
                <w:rFonts w:cs="Arial"/>
                <w:szCs w:val="24"/>
              </w:rPr>
              <w:t>Security, Health &amp; Safety Compliance – Homesafe works</w:t>
            </w:r>
            <w:r w:rsidR="0082751A" w:rsidRPr="00BF73E8">
              <w:rPr>
                <w:rFonts w:cs="Arial"/>
                <w:szCs w:val="24"/>
              </w:rPr>
              <w:t xml:space="preserve"> request for additional budget</w:t>
            </w:r>
          </w:p>
        </w:tc>
      </w:tr>
      <w:tr w:rsidR="00333FAA" w14:paraId="32449166" w14:textId="77777777" w:rsidTr="00EB3CF0">
        <w:tc>
          <w:tcPr>
            <w:tcW w:w="3456" w:type="dxa"/>
          </w:tcPr>
          <w:p w14:paraId="741FAE7B" w14:textId="77777777" w:rsidR="00286306" w:rsidRDefault="00286306" w:rsidP="00C869F3">
            <w:pPr>
              <w:pStyle w:val="Infotext"/>
              <w:spacing w:after="240"/>
              <w:rPr>
                <w:rFonts w:ascii="Arial Black" w:hAnsi="Arial Black" w:cs="Arial"/>
              </w:rPr>
            </w:pPr>
          </w:p>
          <w:p w14:paraId="17ECA8FA" w14:textId="72885B33"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2B0A54D" w14:textId="77777777" w:rsidR="00286306" w:rsidRDefault="00286306" w:rsidP="001C7E35">
            <w:pPr>
              <w:pStyle w:val="Infotext"/>
              <w:rPr>
                <w:rFonts w:cs="Arial"/>
                <w:sz w:val="24"/>
                <w:szCs w:val="24"/>
              </w:rPr>
            </w:pPr>
          </w:p>
          <w:p w14:paraId="2E00FD81" w14:textId="77777777" w:rsidR="00286306" w:rsidRDefault="00286306" w:rsidP="001C7E35">
            <w:pPr>
              <w:pStyle w:val="Infotext"/>
              <w:rPr>
                <w:rFonts w:cs="Arial"/>
                <w:sz w:val="24"/>
                <w:szCs w:val="24"/>
              </w:rPr>
            </w:pPr>
          </w:p>
          <w:p w14:paraId="4AE49827" w14:textId="23552241" w:rsidR="001C7E35" w:rsidRPr="007D1335" w:rsidRDefault="001C7E35" w:rsidP="001C7E35">
            <w:pPr>
              <w:pStyle w:val="Infotext"/>
              <w:rPr>
                <w:rFonts w:cs="Arial"/>
                <w:sz w:val="24"/>
                <w:szCs w:val="24"/>
              </w:rPr>
            </w:pPr>
            <w:r w:rsidRPr="005E3A10">
              <w:rPr>
                <w:rFonts w:cs="Arial"/>
                <w:sz w:val="24"/>
                <w:szCs w:val="24"/>
              </w:rPr>
              <w:t>Yes</w:t>
            </w:r>
            <w:r w:rsidR="00BF73E8">
              <w:rPr>
                <w:rFonts w:cs="Arial"/>
                <w:sz w:val="24"/>
                <w:szCs w:val="24"/>
              </w:rPr>
              <w:t xml:space="preserve"> - a</w:t>
            </w:r>
            <w:r w:rsidR="005B40A7">
              <w:rPr>
                <w:rFonts w:cs="Arial"/>
                <w:sz w:val="24"/>
                <w:szCs w:val="24"/>
              </w:rPr>
              <w:t xml:space="preserve">pproval </w:t>
            </w:r>
            <w:r w:rsidR="007D1335">
              <w:rPr>
                <w:rFonts w:cs="Arial"/>
                <w:sz w:val="24"/>
                <w:szCs w:val="24"/>
              </w:rPr>
              <w:t>to</w:t>
            </w:r>
            <w:r w:rsidR="005B40A7">
              <w:rPr>
                <w:rFonts w:cs="Arial"/>
                <w:sz w:val="24"/>
                <w:szCs w:val="24"/>
              </w:rPr>
              <w:t xml:space="preserve"> increase </w:t>
            </w:r>
            <w:r w:rsidR="00D2501F">
              <w:rPr>
                <w:rFonts w:cs="Arial"/>
                <w:sz w:val="24"/>
                <w:szCs w:val="24"/>
              </w:rPr>
              <w:t xml:space="preserve">the </w:t>
            </w:r>
            <w:r w:rsidR="005B40A7">
              <w:rPr>
                <w:rFonts w:cs="Arial"/>
                <w:sz w:val="24"/>
                <w:szCs w:val="24"/>
              </w:rPr>
              <w:t>budget</w:t>
            </w:r>
            <w:r w:rsidR="008C2AAA">
              <w:rPr>
                <w:rFonts w:cs="Arial"/>
                <w:sz w:val="24"/>
                <w:szCs w:val="24"/>
              </w:rPr>
              <w:t xml:space="preserve"> </w:t>
            </w:r>
            <w:r w:rsidR="006D03A1">
              <w:rPr>
                <w:rFonts w:cs="Arial"/>
                <w:sz w:val="24"/>
                <w:szCs w:val="24"/>
              </w:rPr>
              <w:t xml:space="preserve">for </w:t>
            </w:r>
            <w:r w:rsidR="003D5A91">
              <w:rPr>
                <w:rFonts w:cs="Arial"/>
                <w:sz w:val="24"/>
                <w:szCs w:val="24"/>
              </w:rPr>
              <w:t xml:space="preserve">the Homesafe works </w:t>
            </w:r>
            <w:r w:rsidR="005B40A7">
              <w:rPr>
                <w:rFonts w:cs="Arial"/>
                <w:sz w:val="24"/>
                <w:szCs w:val="24"/>
              </w:rPr>
              <w:t>to that already approved</w:t>
            </w:r>
            <w:r w:rsidR="007D1335">
              <w:rPr>
                <w:rFonts w:cs="Arial"/>
                <w:sz w:val="24"/>
                <w:szCs w:val="24"/>
              </w:rPr>
              <w:t xml:space="preserve"> by Cabinet</w:t>
            </w:r>
            <w:r w:rsidR="00A07378">
              <w:t xml:space="preserve"> </w:t>
            </w:r>
            <w:r w:rsidR="00A07378" w:rsidRPr="00A07378">
              <w:rPr>
                <w:rFonts w:cs="Arial"/>
                <w:sz w:val="24"/>
                <w:szCs w:val="24"/>
              </w:rPr>
              <w:t>by £1.6m</w:t>
            </w:r>
            <w:r w:rsidR="005B40A7">
              <w:rPr>
                <w:rFonts w:cs="Arial"/>
                <w:sz w:val="24"/>
                <w:szCs w:val="24"/>
              </w:rPr>
              <w:t>.</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66B0D26" w14:textId="1302667D" w:rsidR="001E5374" w:rsidRPr="001716AF" w:rsidRDefault="00997422" w:rsidP="001E5374">
            <w:pPr>
              <w:pStyle w:val="Infotext"/>
              <w:rPr>
                <w:rFonts w:cs="Arial"/>
                <w:sz w:val="24"/>
                <w:szCs w:val="24"/>
              </w:rPr>
            </w:pPr>
            <w:r>
              <w:rPr>
                <w:rFonts w:cs="Arial"/>
                <w:sz w:val="24"/>
                <w:szCs w:val="24"/>
              </w:rPr>
              <w:t>Julian Higson</w:t>
            </w:r>
            <w:r w:rsidR="00BF73E8">
              <w:rPr>
                <w:rFonts w:cs="Arial"/>
                <w:sz w:val="24"/>
                <w:szCs w:val="24"/>
              </w:rPr>
              <w:t xml:space="preserve"> - </w:t>
            </w:r>
            <w:r w:rsidR="001E5374" w:rsidRPr="001716AF">
              <w:rPr>
                <w:rFonts w:cs="Arial"/>
                <w:sz w:val="24"/>
                <w:szCs w:val="24"/>
              </w:rPr>
              <w:t xml:space="preserve">Divisional Director of Housing </w:t>
            </w:r>
            <w:r w:rsidR="00BF73E8">
              <w:rPr>
                <w:rFonts w:cs="Arial"/>
                <w:sz w:val="24"/>
                <w:szCs w:val="24"/>
              </w:rPr>
              <w:t>Services</w:t>
            </w:r>
          </w:p>
          <w:p w14:paraId="3798BF23" w14:textId="77777777" w:rsidR="001C7E35" w:rsidRPr="005E3A10" w:rsidRDefault="001C7E35" w:rsidP="001E5374">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1D4E11E" w14:textId="5464765D" w:rsidR="001E5374" w:rsidRPr="00470918" w:rsidRDefault="001E5374" w:rsidP="001E5374">
            <w:pPr>
              <w:pStyle w:val="Infotext"/>
              <w:rPr>
                <w:rFonts w:cs="Arial"/>
                <w:sz w:val="24"/>
                <w:szCs w:val="24"/>
              </w:rPr>
            </w:pPr>
            <w:r>
              <w:rPr>
                <w:rFonts w:cs="Arial"/>
                <w:sz w:val="24"/>
                <w:szCs w:val="24"/>
              </w:rPr>
              <w:t>Councillor Philip O’Dell</w:t>
            </w:r>
            <w:r w:rsidR="00BF73E8">
              <w:rPr>
                <w:rFonts w:cs="Arial"/>
                <w:sz w:val="24"/>
                <w:szCs w:val="24"/>
              </w:rPr>
              <w:t xml:space="preserve"> - </w:t>
            </w:r>
            <w:r w:rsidRPr="00470918">
              <w:rPr>
                <w:rFonts w:cs="Arial"/>
                <w:sz w:val="24"/>
                <w:szCs w:val="24"/>
              </w:rPr>
              <w:t>Portfolio Holder for Housing</w:t>
            </w:r>
            <w:r w:rsidR="00BF73E8">
              <w:rPr>
                <w:rFonts w:cs="Arial"/>
                <w:sz w:val="24"/>
                <w:szCs w:val="24"/>
              </w:rPr>
              <w:t xml:space="preserve">; </w:t>
            </w:r>
            <w:r w:rsidRPr="00470918">
              <w:rPr>
                <w:rFonts w:cs="Arial"/>
                <w:sz w:val="24"/>
                <w:szCs w:val="24"/>
              </w:rPr>
              <w:t xml:space="preserve">Councillor </w:t>
            </w:r>
            <w:r w:rsidR="00997422">
              <w:rPr>
                <w:rFonts w:cs="Arial"/>
                <w:sz w:val="24"/>
                <w:szCs w:val="24"/>
              </w:rPr>
              <w:t>Natasha Proctor</w:t>
            </w:r>
            <w:r w:rsidR="00BF73E8">
              <w:rPr>
                <w:rFonts w:cs="Arial"/>
                <w:sz w:val="24"/>
                <w:szCs w:val="24"/>
              </w:rPr>
              <w:t xml:space="preserve"> - </w:t>
            </w:r>
            <w:r w:rsidR="00F3062A">
              <w:rPr>
                <w:rFonts w:cs="Arial"/>
                <w:sz w:val="24"/>
                <w:szCs w:val="24"/>
              </w:rPr>
              <w:t xml:space="preserve">Deputy Leader and </w:t>
            </w:r>
            <w:r w:rsidRPr="00470918">
              <w:rPr>
                <w:rFonts w:cs="Arial"/>
                <w:sz w:val="24"/>
                <w:szCs w:val="24"/>
              </w:rPr>
              <w:t xml:space="preserve">Portfolio Holder for Finance and </w:t>
            </w:r>
            <w:r w:rsidR="00997422">
              <w:rPr>
                <w:rFonts w:cs="Arial"/>
                <w:sz w:val="24"/>
                <w:szCs w:val="24"/>
              </w:rPr>
              <w:t>Resources.</w:t>
            </w:r>
          </w:p>
          <w:p w14:paraId="39A9A01A" w14:textId="1CF742C1" w:rsidR="001C7E35" w:rsidRPr="001E5374" w:rsidRDefault="001C7E35" w:rsidP="00D835CF">
            <w:pPr>
              <w:pStyle w:val="Infotext"/>
              <w:rPr>
                <w:rFonts w:cs="Arial"/>
                <w:sz w:val="24"/>
                <w:szCs w:val="24"/>
              </w:rPr>
            </w:pPr>
          </w:p>
        </w:tc>
      </w:tr>
      <w:tr w:rsidR="001C7E35" w14:paraId="3CF618C8" w14:textId="77777777" w:rsidTr="00EB3CF0">
        <w:tc>
          <w:tcPr>
            <w:tcW w:w="3456" w:type="dxa"/>
          </w:tcPr>
          <w:p w14:paraId="4CD8D092" w14:textId="77777777" w:rsidR="001C7E35" w:rsidRPr="005946B5" w:rsidRDefault="001C7E35" w:rsidP="00C869F3">
            <w:pPr>
              <w:pStyle w:val="Infotext"/>
              <w:spacing w:after="240"/>
              <w:rPr>
                <w:rFonts w:ascii="Arial Black" w:hAnsi="Arial Black"/>
              </w:rPr>
            </w:pPr>
            <w:r w:rsidRPr="005946B5">
              <w:rPr>
                <w:rFonts w:ascii="Arial Black" w:hAnsi="Arial Black"/>
              </w:rPr>
              <w:t>Exempt:</w:t>
            </w:r>
          </w:p>
        </w:tc>
        <w:tc>
          <w:tcPr>
            <w:tcW w:w="5054" w:type="dxa"/>
          </w:tcPr>
          <w:p w14:paraId="47D5EFD3" w14:textId="5EC2B8D5" w:rsidR="001C7E35" w:rsidRPr="005946B5" w:rsidRDefault="001C7E35" w:rsidP="00D835CF">
            <w:pPr>
              <w:pStyle w:val="Infotext"/>
              <w:rPr>
                <w:rFonts w:cs="Arial"/>
                <w:sz w:val="24"/>
                <w:szCs w:val="24"/>
              </w:rPr>
            </w:pPr>
            <w:r w:rsidRPr="005946B5">
              <w:rPr>
                <w:rFonts w:cs="Arial"/>
                <w:sz w:val="24"/>
                <w:szCs w:val="24"/>
              </w:rPr>
              <w:t>No</w:t>
            </w:r>
          </w:p>
          <w:p w14:paraId="755E47D1" w14:textId="77777777" w:rsidR="001C7E35" w:rsidRPr="00C13238" w:rsidRDefault="001C7E35" w:rsidP="00D835CF">
            <w:pPr>
              <w:pStyle w:val="Infotext"/>
              <w:rPr>
                <w:rFonts w:cs="Arial"/>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F9730ED" w14:textId="77777777" w:rsidR="008E2AE8" w:rsidRDefault="008E2AE8" w:rsidP="00D835CF">
            <w:pPr>
              <w:pStyle w:val="Infotext"/>
              <w:rPr>
                <w:rFonts w:cs="Arial"/>
                <w:sz w:val="24"/>
                <w:szCs w:val="24"/>
              </w:rPr>
            </w:pPr>
          </w:p>
          <w:p w14:paraId="4B40AAFF" w14:textId="19F4636E" w:rsidR="001C7E35" w:rsidRPr="005E3A10" w:rsidRDefault="001C7E35" w:rsidP="00D835CF">
            <w:pPr>
              <w:pStyle w:val="Infotext"/>
              <w:rPr>
                <w:rFonts w:cs="Arial"/>
                <w:sz w:val="24"/>
                <w:szCs w:val="24"/>
              </w:rPr>
            </w:pPr>
            <w:r w:rsidRPr="005E3A10">
              <w:rPr>
                <w:rFonts w:cs="Arial"/>
                <w:sz w:val="24"/>
                <w:szCs w:val="24"/>
              </w:rPr>
              <w:t>Yes</w:t>
            </w:r>
          </w:p>
          <w:p w14:paraId="0AECD361" w14:textId="74D49210"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5BF1D95E" w:rsidR="00307F76" w:rsidRPr="00297385" w:rsidRDefault="00F741F7" w:rsidP="00297385">
            <w:pPr>
              <w:rPr>
                <w:rFonts w:cs="Arial"/>
                <w:bCs/>
                <w:color w:val="FF0000"/>
                <w:szCs w:val="24"/>
              </w:rPr>
            </w:pPr>
            <w:r w:rsidRPr="00297385">
              <w:rPr>
                <w:rFonts w:cs="Arial"/>
                <w:bCs/>
                <w:szCs w:val="24"/>
              </w:rPr>
              <w:t>All Wards</w:t>
            </w:r>
          </w:p>
        </w:tc>
      </w:tr>
      <w:tr w:rsidR="001C7E35" w14:paraId="5F1445BF" w14:textId="77777777" w:rsidTr="00EB3CF0">
        <w:tc>
          <w:tcPr>
            <w:tcW w:w="3456" w:type="dxa"/>
          </w:tcPr>
          <w:p w14:paraId="0E539C63" w14:textId="7BC42F10"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770A0A23" w:rsidR="00D70D0B" w:rsidRPr="005E3A10" w:rsidRDefault="00D70D0B" w:rsidP="00DB6C3D">
            <w:pPr>
              <w:pStyle w:val="Infotext"/>
              <w:rPr>
                <w:color w:val="FF0000"/>
                <w:sz w:val="24"/>
                <w:szCs w:val="24"/>
              </w:rPr>
            </w:pPr>
            <w:r w:rsidRPr="00D70D0B">
              <w:rPr>
                <w:color w:val="000000" w:themeColor="text1"/>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762385">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762385" w14:paraId="60ABD3DE" w14:textId="77777777" w:rsidTr="00762385">
        <w:trPr>
          <w:tblHeader/>
        </w:trPr>
        <w:tc>
          <w:tcPr>
            <w:tcW w:w="8309" w:type="dxa"/>
          </w:tcPr>
          <w:p w14:paraId="2553E51C" w14:textId="77777777" w:rsidR="00762385" w:rsidRPr="00FD6313" w:rsidRDefault="00762385" w:rsidP="00762385">
            <w:r>
              <w:t>1.1 This</w:t>
            </w:r>
            <w:r w:rsidRPr="00E622DD">
              <w:t xml:space="preserve"> report </w:t>
            </w:r>
            <w:r>
              <w:t xml:space="preserve">seeks </w:t>
            </w:r>
            <w:r w:rsidRPr="00E622DD">
              <w:t>Cabinet</w:t>
            </w:r>
            <w:r>
              <w:t xml:space="preserve">’s </w:t>
            </w:r>
            <w:r w:rsidRPr="00E622DD">
              <w:t xml:space="preserve">authority </w:t>
            </w:r>
            <w:r>
              <w:t>to increase the budget and go to the market to deliver the 3</w:t>
            </w:r>
            <w:r w:rsidRPr="00474534">
              <w:rPr>
                <w:vertAlign w:val="superscript"/>
              </w:rPr>
              <w:t>rd</w:t>
            </w:r>
            <w:r>
              <w:t xml:space="preserve"> phase of the Homesafe Programme which delivers </w:t>
            </w:r>
            <w:r>
              <w:rPr>
                <w:rFonts w:cs="Arial"/>
                <w:szCs w:val="24"/>
              </w:rPr>
              <w:t>s</w:t>
            </w:r>
            <w:r w:rsidRPr="00C76F8E">
              <w:rPr>
                <w:rFonts w:cs="Arial"/>
                <w:szCs w:val="24"/>
              </w:rPr>
              <w:t xml:space="preserve">ecurity, </w:t>
            </w:r>
            <w:r>
              <w:rPr>
                <w:rFonts w:cs="Arial"/>
                <w:szCs w:val="24"/>
              </w:rPr>
              <w:t>and health &amp; safety compliance works for priority tenanted and leaseholder flats and block common parts. We intend to let a 66-week</w:t>
            </w:r>
            <w:r w:rsidRPr="00C76F8E">
              <w:rPr>
                <w:rFonts w:cs="Arial"/>
                <w:szCs w:val="24"/>
              </w:rPr>
              <w:t xml:space="preserve"> </w:t>
            </w:r>
            <w:r>
              <w:rPr>
                <w:rFonts w:cs="Arial"/>
                <w:szCs w:val="24"/>
              </w:rPr>
              <w:t>contract</w:t>
            </w:r>
            <w:r w:rsidRPr="00C76F8E">
              <w:rPr>
                <w:rFonts w:cs="Arial"/>
                <w:szCs w:val="24"/>
              </w:rPr>
              <w:t xml:space="preserve"> </w:t>
            </w:r>
            <w:r>
              <w:rPr>
                <w:rFonts w:cs="Arial"/>
                <w:szCs w:val="24"/>
              </w:rPr>
              <w:t>spanning the next 2-years</w:t>
            </w:r>
            <w:r w:rsidRPr="00C76F8E">
              <w:t xml:space="preserve"> </w:t>
            </w:r>
            <w:r>
              <w:t xml:space="preserve">2021-2022 and 2022-2023 on the HRA </w:t>
            </w:r>
            <w:r w:rsidRPr="00C76F8E">
              <w:t>Housing Capital Programme.</w:t>
            </w:r>
          </w:p>
          <w:p w14:paraId="1E893B97" w14:textId="77777777" w:rsidR="00762385" w:rsidRDefault="00762385" w:rsidP="00762385"/>
          <w:p w14:paraId="11BFD039" w14:textId="29EB51A4" w:rsidR="00762385" w:rsidRDefault="00BF73E8" w:rsidP="00762385">
            <w:pPr>
              <w:jc w:val="both"/>
            </w:pPr>
            <w:r w:rsidRPr="00252AA0">
              <w:t>1.2 Cabinet</w:t>
            </w:r>
            <w:r w:rsidR="00762385">
              <w:t xml:space="preserve"> approved</w:t>
            </w:r>
            <w:r w:rsidR="00762385" w:rsidRPr="00252AA0">
              <w:t xml:space="preserve"> </w:t>
            </w:r>
            <w:r w:rsidR="00762385">
              <w:t xml:space="preserve">a </w:t>
            </w:r>
            <w:r w:rsidR="00762385" w:rsidRPr="00252AA0">
              <w:t xml:space="preserve">budget of £2.4m </w:t>
            </w:r>
            <w:r w:rsidR="00762385">
              <w:t xml:space="preserve"> for the Programme on</w:t>
            </w:r>
            <w:r w:rsidR="00762385" w:rsidRPr="00252AA0">
              <w:t xml:space="preserve"> 19</w:t>
            </w:r>
            <w:r w:rsidR="00762385" w:rsidRPr="00252AA0">
              <w:rPr>
                <w:vertAlign w:val="superscript"/>
              </w:rPr>
              <w:t>th</w:t>
            </w:r>
            <w:r w:rsidR="00762385" w:rsidRPr="00252AA0">
              <w:t xml:space="preserve"> March 2020 </w:t>
            </w:r>
            <w:r w:rsidR="00762385">
              <w:t>Programme</w:t>
            </w:r>
            <w:r w:rsidR="00762385" w:rsidRPr="00252AA0">
              <w:t xml:space="preserve">, </w:t>
            </w:r>
            <w:r w:rsidR="00762385">
              <w:t>but</w:t>
            </w:r>
            <w:r w:rsidR="00762385" w:rsidRPr="00252AA0">
              <w:t xml:space="preserve"> </w:t>
            </w:r>
            <w:r w:rsidR="00762385">
              <w:t xml:space="preserve">since then </w:t>
            </w:r>
            <w:r w:rsidR="00762385" w:rsidRPr="00252AA0">
              <w:t>the Planned Investment team ha</w:t>
            </w:r>
            <w:r w:rsidR="00762385">
              <w:t>s</w:t>
            </w:r>
            <w:r w:rsidR="00762385" w:rsidRPr="00252AA0">
              <w:t xml:space="preserve"> increased the scope of the </w:t>
            </w:r>
            <w:r w:rsidR="00762385">
              <w:t>Programme</w:t>
            </w:r>
            <w:r w:rsidR="00762385" w:rsidRPr="00252AA0">
              <w:t xml:space="preserve"> and included a larger number of priority flats and blocks and an increased scope of works. </w:t>
            </w:r>
          </w:p>
          <w:p w14:paraId="06A3CF4F" w14:textId="77777777" w:rsidR="00762385" w:rsidRDefault="00762385" w:rsidP="00762385">
            <w:pPr>
              <w:jc w:val="both"/>
            </w:pPr>
          </w:p>
          <w:p w14:paraId="5554D0CE" w14:textId="1AD780E2" w:rsidR="00762385" w:rsidRPr="00FD6313" w:rsidRDefault="00762385" w:rsidP="00762385">
            <w:pPr>
              <w:jc w:val="both"/>
            </w:pPr>
            <w:r>
              <w:t>1.3</w:t>
            </w:r>
            <w:r w:rsidR="004320D1">
              <w:t xml:space="preserve"> </w:t>
            </w:r>
            <w:r w:rsidRPr="00252AA0">
              <w:t xml:space="preserve">This report requests Cabinet approval for </w:t>
            </w:r>
            <w:r>
              <w:t xml:space="preserve">the </w:t>
            </w:r>
            <w:r w:rsidRPr="00252AA0">
              <w:t>additional budget of £1.6m to bring the total budget to £4m which will incorporate the increased volume and scope of works</w:t>
            </w:r>
            <w:r>
              <w:t xml:space="preserve"> in the enhanced Programme</w:t>
            </w:r>
            <w:r w:rsidRPr="00252AA0">
              <w:t>. This will improve the safety and security of more properties than originally planned.</w:t>
            </w:r>
          </w:p>
          <w:p w14:paraId="31DB5723" w14:textId="77777777" w:rsidR="00762385" w:rsidRPr="00605A4C" w:rsidRDefault="00762385" w:rsidP="00762385">
            <w:pPr>
              <w:pStyle w:val="Heading3"/>
              <w:spacing w:before="240"/>
            </w:pPr>
            <w:r w:rsidRPr="004D68EA">
              <w:t>Recommendations</w:t>
            </w:r>
            <w:r w:rsidRPr="00605A4C">
              <w:t xml:space="preserve">: </w:t>
            </w:r>
          </w:p>
          <w:p w14:paraId="46AAAD8F" w14:textId="77777777" w:rsidR="00762385" w:rsidRDefault="00762385" w:rsidP="00762385">
            <w:r>
              <w:t>Cabinet to:</w:t>
            </w:r>
          </w:p>
          <w:p w14:paraId="1CD12A9B" w14:textId="77777777" w:rsidR="00762385" w:rsidRDefault="00762385" w:rsidP="00762385"/>
          <w:p w14:paraId="1F5C461E" w14:textId="7C5F7534" w:rsidR="00762385" w:rsidRPr="006C2548" w:rsidRDefault="00762385" w:rsidP="00762385">
            <w:pPr>
              <w:numPr>
                <w:ilvl w:val="0"/>
                <w:numId w:val="7"/>
              </w:numPr>
              <w:jc w:val="both"/>
            </w:pPr>
            <w:r>
              <w:t>Approve the increase to the current Programme budget of £2.4m by an additional £1.6m to a new total budget of £</w:t>
            </w:r>
            <w:r w:rsidR="004320D1">
              <w:t>4,000,000</w:t>
            </w:r>
            <w:r w:rsidR="004320D1">
              <w:rPr>
                <w:rFonts w:cs="Arial"/>
              </w:rPr>
              <w:t>, funded</w:t>
            </w:r>
            <w:r>
              <w:rPr>
                <w:rFonts w:cs="Arial"/>
              </w:rPr>
              <w:t xml:space="preserve"> from HRA capital resources in financial years 21/22 and 22/23.</w:t>
            </w:r>
          </w:p>
          <w:p w14:paraId="31FA9D27" w14:textId="77777777" w:rsidR="00762385" w:rsidRPr="00F32733" w:rsidRDefault="00762385" w:rsidP="00762385">
            <w:pPr>
              <w:ind w:left="720"/>
              <w:jc w:val="both"/>
            </w:pPr>
          </w:p>
          <w:p w14:paraId="766BBA1B" w14:textId="77777777" w:rsidR="00762385" w:rsidRPr="006C2548" w:rsidRDefault="00762385" w:rsidP="00762385">
            <w:pPr>
              <w:numPr>
                <w:ilvl w:val="0"/>
                <w:numId w:val="7"/>
              </w:numPr>
              <w:jc w:val="both"/>
            </w:pPr>
            <w:r>
              <w:rPr>
                <w:rFonts w:cs="Arial"/>
              </w:rPr>
              <w:t>Approve the</w:t>
            </w:r>
            <w:r>
              <w:t xml:space="preserve"> commencement of</w:t>
            </w:r>
            <w:r>
              <w:rPr>
                <w:rFonts w:cs="Arial"/>
              </w:rPr>
              <w:t xml:space="preserve"> a procurement process to identify a suitable provider to deliver the enhanced Programme.  </w:t>
            </w:r>
          </w:p>
          <w:p w14:paraId="1DCF8EF4" w14:textId="77777777" w:rsidR="00762385" w:rsidRDefault="00762385" w:rsidP="00762385">
            <w:pPr>
              <w:ind w:left="720"/>
              <w:jc w:val="both"/>
            </w:pPr>
          </w:p>
          <w:p w14:paraId="3EABE4E8" w14:textId="69445B71" w:rsidR="00762385" w:rsidRDefault="00762385" w:rsidP="00762385">
            <w:pPr>
              <w:numPr>
                <w:ilvl w:val="0"/>
                <w:numId w:val="7"/>
              </w:numPr>
              <w:jc w:val="both"/>
            </w:pPr>
            <w:r>
              <w:t>Delegate authority to the Corporate Director for Community</w:t>
            </w:r>
            <w:r w:rsidR="00F3062A">
              <w:t>, following consultation with the Portfolio Holder</w:t>
            </w:r>
            <w:r w:rsidR="00297385">
              <w:t>s</w:t>
            </w:r>
            <w:r w:rsidR="00F3062A">
              <w:t xml:space="preserve"> for </w:t>
            </w:r>
            <w:r w:rsidR="00297385">
              <w:t>Housing and Finance and Resources, to</w:t>
            </w:r>
            <w:r>
              <w:t xml:space="preserve"> award a contract to the Most Economically Advantageous Tender following the completion of a compliant procurement process.</w:t>
            </w:r>
          </w:p>
          <w:p w14:paraId="63796FF2" w14:textId="77777777" w:rsidR="00762385" w:rsidRPr="000B2E62" w:rsidRDefault="00762385" w:rsidP="00762385">
            <w:pPr>
              <w:jc w:val="both"/>
            </w:pPr>
            <w:r>
              <w:t xml:space="preserve">  </w:t>
            </w:r>
          </w:p>
          <w:p w14:paraId="44C884AF" w14:textId="2339537B" w:rsidR="00762385" w:rsidRPr="00252AA0" w:rsidRDefault="00762385" w:rsidP="00762385">
            <w:pPr>
              <w:numPr>
                <w:ilvl w:val="0"/>
                <w:numId w:val="7"/>
              </w:numPr>
              <w:jc w:val="both"/>
            </w:pPr>
            <w:r w:rsidRPr="00252AA0">
              <w:t>Delegate authority to the Corporate Director</w:t>
            </w:r>
            <w:r>
              <w:t xml:space="preserve"> for Community</w:t>
            </w:r>
            <w:r w:rsidR="00F3062A">
              <w:t xml:space="preserve">, following consultation with the </w:t>
            </w:r>
            <w:r w:rsidR="00297385">
              <w:t xml:space="preserve">Portfolio Holders for Housing and Finance and Resources, </w:t>
            </w:r>
            <w:r w:rsidRPr="00252AA0">
              <w:t>to issue a Letter of Intent to the successful tenderer to carry out pre contract surveys and to order materials with expected long lead-in times for delivery</w:t>
            </w:r>
            <w:r>
              <w:t>.</w:t>
            </w:r>
          </w:p>
          <w:p w14:paraId="5B970B62" w14:textId="77777777" w:rsidR="00762385" w:rsidRPr="00CF0404" w:rsidRDefault="00762385" w:rsidP="00762385">
            <w:pPr>
              <w:ind w:left="720"/>
            </w:pPr>
          </w:p>
          <w:p w14:paraId="2E8C8D4F" w14:textId="7E74DC02" w:rsidR="00762385" w:rsidRDefault="00762385" w:rsidP="00762385">
            <w:r w:rsidRPr="00297385">
              <w:rPr>
                <w:b/>
                <w:bCs/>
                <w:sz w:val="28"/>
                <w:szCs w:val="22"/>
              </w:rPr>
              <w:t>Reason: (for recommendations):</w:t>
            </w:r>
            <w:r w:rsidRPr="00297385">
              <w:rPr>
                <w:sz w:val="28"/>
                <w:szCs w:val="22"/>
              </w:rPr>
              <w:t xml:space="preserve"> </w:t>
            </w:r>
            <w:r>
              <w:t>-</w:t>
            </w:r>
          </w:p>
          <w:p w14:paraId="64293063" w14:textId="77777777" w:rsidR="00297385" w:rsidRDefault="00297385" w:rsidP="00762385"/>
          <w:p w14:paraId="6115CB6A" w14:textId="77777777" w:rsidR="00762385" w:rsidRPr="0015113C" w:rsidRDefault="00762385" w:rsidP="00762385">
            <w:r w:rsidRPr="00252AA0">
              <w:t xml:space="preserve">Due to the </w:t>
            </w:r>
            <w:r>
              <w:t xml:space="preserve">increased </w:t>
            </w:r>
            <w:r w:rsidRPr="00252AA0">
              <w:t xml:space="preserve">estimated </w:t>
            </w:r>
            <w:r>
              <w:t>P</w:t>
            </w:r>
            <w:r w:rsidRPr="00252AA0">
              <w:t>rogramme value require</w:t>
            </w:r>
            <w:r>
              <w:t>s</w:t>
            </w:r>
            <w:r w:rsidRPr="00252AA0">
              <w:t xml:space="preserve"> Cabinet approval </w:t>
            </w:r>
            <w:r>
              <w:t xml:space="preserve">for the additional budget </w:t>
            </w:r>
            <w:r w:rsidRPr="00252AA0">
              <w:t>to comply with the Council’s Contract Procedure Rules and Financial Regulations</w:t>
            </w:r>
            <w:r>
              <w:t xml:space="preserve">. </w:t>
            </w:r>
          </w:p>
          <w:p w14:paraId="35AD9EA4" w14:textId="77777777" w:rsidR="00762385" w:rsidRDefault="00762385" w:rsidP="00762385">
            <w:pPr>
              <w:rPr>
                <w:color w:val="0000FF"/>
              </w:rPr>
            </w:pPr>
          </w:p>
        </w:tc>
      </w:tr>
    </w:tbl>
    <w:p w14:paraId="6D19703E" w14:textId="77777777" w:rsidR="00AB09CC" w:rsidRDefault="00AB09CC" w:rsidP="00AB09CC">
      <w:pPr>
        <w:pStyle w:val="Heading2"/>
        <w:spacing w:before="480"/>
      </w:pPr>
    </w:p>
    <w:p w14:paraId="27E9AF43" w14:textId="288F4779" w:rsidR="00AB09CC" w:rsidRPr="00AB09CC" w:rsidRDefault="00333FAA" w:rsidP="00AB09CC">
      <w:pPr>
        <w:pStyle w:val="Heading2"/>
        <w:spacing w:before="480"/>
      </w:pPr>
      <w:r>
        <w:lastRenderedPageBreak/>
        <w:t>Section 2 – Report</w:t>
      </w:r>
    </w:p>
    <w:p w14:paraId="76168D48" w14:textId="61A34E58" w:rsidR="001C7E35" w:rsidRDefault="004528AE" w:rsidP="00F06E4E">
      <w:pPr>
        <w:pStyle w:val="Heading3"/>
        <w:spacing w:before="240"/>
      </w:pPr>
      <w:r>
        <w:t>2.</w:t>
      </w:r>
      <w:r w:rsidR="00A61900">
        <w:t>0</w:t>
      </w:r>
      <w:r w:rsidR="008459FF">
        <w:tab/>
      </w:r>
      <w:r w:rsidR="001C7E35">
        <w:t>Introduct</w:t>
      </w:r>
      <w:r w:rsidR="00D80FD2">
        <w:t>io</w:t>
      </w:r>
      <w:r w:rsidR="004D68EA">
        <w:t>n</w:t>
      </w:r>
    </w:p>
    <w:p w14:paraId="510179F5" w14:textId="77777777" w:rsidR="004211FA" w:rsidRPr="004211FA" w:rsidRDefault="004211FA" w:rsidP="004211FA"/>
    <w:p w14:paraId="0A478381" w14:textId="69480403" w:rsidR="00542676" w:rsidRPr="007D6F1E" w:rsidRDefault="00542676" w:rsidP="004D68EA">
      <w:pPr>
        <w:jc w:val="both"/>
      </w:pPr>
      <w:r w:rsidRPr="00474534">
        <w:t xml:space="preserve">The Housing Capital </w:t>
      </w:r>
      <w:r w:rsidR="003B3A79">
        <w:t>b</w:t>
      </w:r>
      <w:r w:rsidR="00992CCD" w:rsidRPr="00474534">
        <w:t xml:space="preserve">udget </w:t>
      </w:r>
      <w:r w:rsidRPr="00474534">
        <w:t xml:space="preserve">approved at Cabinet </w:t>
      </w:r>
      <w:r w:rsidR="002E761A" w:rsidRPr="00474534">
        <w:t>on the</w:t>
      </w:r>
      <w:r w:rsidR="004E7008" w:rsidRPr="00474534">
        <w:t xml:space="preserve"> </w:t>
      </w:r>
      <w:r w:rsidR="003B3A79">
        <w:t>1</w:t>
      </w:r>
      <w:r w:rsidRPr="00474534">
        <w:t>9</w:t>
      </w:r>
      <w:r w:rsidRPr="00474534">
        <w:rPr>
          <w:vertAlign w:val="superscript"/>
        </w:rPr>
        <w:t>th</w:t>
      </w:r>
      <w:r w:rsidRPr="00474534">
        <w:t xml:space="preserve"> March 20</w:t>
      </w:r>
      <w:r w:rsidR="003E6E87" w:rsidRPr="00474534">
        <w:t>20</w:t>
      </w:r>
      <w:r w:rsidRPr="00474534">
        <w:t xml:space="preserve"> </w:t>
      </w:r>
      <w:r w:rsidR="00992CCD" w:rsidRPr="00474534">
        <w:t xml:space="preserve">for </w:t>
      </w:r>
      <w:r w:rsidR="00992CCD" w:rsidRPr="00010D86">
        <w:t xml:space="preserve">Homesafe-3 </w:t>
      </w:r>
      <w:r w:rsidR="00B54848">
        <w:t>P</w:t>
      </w:r>
      <w:r w:rsidR="003B3A79" w:rsidRPr="00010D86">
        <w:t xml:space="preserve">rogramme </w:t>
      </w:r>
      <w:r w:rsidR="00992CCD" w:rsidRPr="00010D86">
        <w:t xml:space="preserve">was </w:t>
      </w:r>
      <w:r w:rsidRPr="00010D86">
        <w:t xml:space="preserve">up </w:t>
      </w:r>
      <w:r w:rsidR="00210E2C" w:rsidRPr="00010D86">
        <w:t>to £</w:t>
      </w:r>
      <w:r w:rsidRPr="00010D86">
        <w:t>2</w:t>
      </w:r>
      <w:r w:rsidR="004E7008" w:rsidRPr="00010D86">
        <w:t>,400,000</w:t>
      </w:r>
      <w:r w:rsidRPr="00010D86">
        <w:t>.</w:t>
      </w:r>
      <w:r w:rsidR="00A51E18">
        <w:t xml:space="preserve"> </w:t>
      </w:r>
      <w:r w:rsidRPr="007072C5">
        <w:t xml:space="preserve">The additional </w:t>
      </w:r>
      <w:r w:rsidR="00DD607B">
        <w:t>b</w:t>
      </w:r>
      <w:r w:rsidRPr="007072C5">
        <w:t xml:space="preserve">udget </w:t>
      </w:r>
      <w:r w:rsidR="00210E2C">
        <w:t xml:space="preserve">required </w:t>
      </w:r>
      <w:r w:rsidR="00210E2C" w:rsidRPr="007072C5">
        <w:t>for</w:t>
      </w:r>
      <w:r w:rsidRPr="007072C5">
        <w:t xml:space="preserve"> </w:t>
      </w:r>
      <w:r w:rsidR="00C64B59">
        <w:t xml:space="preserve">the delivery of </w:t>
      </w:r>
      <w:r w:rsidR="00A97158">
        <w:t>the enhanced Programme</w:t>
      </w:r>
      <w:r w:rsidRPr="007072C5">
        <w:t xml:space="preserve"> is </w:t>
      </w:r>
      <w:r w:rsidRPr="00DB7199">
        <w:t>£1.</w:t>
      </w:r>
      <w:r w:rsidR="008C2AAA" w:rsidRPr="00DB7199">
        <w:t>6</w:t>
      </w:r>
      <w:r w:rsidRPr="00DB7199">
        <w:t>m</w:t>
      </w:r>
      <w:r w:rsidR="00567F34">
        <w:t xml:space="preserve"> </w:t>
      </w:r>
      <w:r w:rsidR="00567F34" w:rsidRPr="004D68EA">
        <w:t>which will cover</w:t>
      </w:r>
      <w:r w:rsidR="0075411A">
        <w:t xml:space="preserve"> a</w:t>
      </w:r>
      <w:r w:rsidR="00567F34" w:rsidRPr="004D68EA">
        <w:t xml:space="preserve"> </w:t>
      </w:r>
      <w:r w:rsidR="004211FA" w:rsidRPr="004D68EA">
        <w:t>greater number</w:t>
      </w:r>
      <w:r w:rsidR="00567F34" w:rsidRPr="004D68EA">
        <w:t xml:space="preserve"> of flats and blocks</w:t>
      </w:r>
      <w:r w:rsidR="00FB44E6">
        <w:t xml:space="preserve"> </w:t>
      </w:r>
      <w:r w:rsidR="007F6979">
        <w:t xml:space="preserve">that were </w:t>
      </w:r>
      <w:r w:rsidR="00210E2C">
        <w:t>not identified</w:t>
      </w:r>
      <w:r w:rsidR="007F6979">
        <w:t xml:space="preserve"> as part of the </w:t>
      </w:r>
      <w:r w:rsidR="00A97158">
        <w:t>original Programme</w:t>
      </w:r>
      <w:r w:rsidR="007F6979">
        <w:t xml:space="preserve">. </w:t>
      </w:r>
      <w:r w:rsidR="00A51E18">
        <w:t xml:space="preserve">This would increase the overall </w:t>
      </w:r>
      <w:r w:rsidR="000A3BCB">
        <w:t>P</w:t>
      </w:r>
      <w:r w:rsidR="00A51E18" w:rsidRPr="005F1705">
        <w:t>rogramm</w:t>
      </w:r>
      <w:r w:rsidR="00A51E18">
        <w:t>e budget from £2,400,000 already approved by Cabinet to £4,000,000</w:t>
      </w:r>
      <w:r w:rsidR="006671EF">
        <w:t xml:space="preserve"> as per recommendation 1.</w:t>
      </w:r>
    </w:p>
    <w:p w14:paraId="748C948C" w14:textId="77777777" w:rsidR="00542676" w:rsidRDefault="00542676" w:rsidP="004D68EA">
      <w:pPr>
        <w:jc w:val="both"/>
        <w:rPr>
          <w:rFonts w:cs="Arial"/>
        </w:rPr>
      </w:pPr>
    </w:p>
    <w:p w14:paraId="7739C2F4" w14:textId="73657334" w:rsidR="00B76CE3" w:rsidRDefault="007A73AA" w:rsidP="00B76CE3">
      <w:pPr>
        <w:jc w:val="both"/>
      </w:pPr>
      <w:r>
        <w:t>T</w:t>
      </w:r>
      <w:r w:rsidR="00542676">
        <w:t xml:space="preserve">he </w:t>
      </w:r>
      <w:r w:rsidR="000A3BCB">
        <w:t>P</w:t>
      </w:r>
      <w:r w:rsidR="006F015E">
        <w:t xml:space="preserve">rogramme </w:t>
      </w:r>
      <w:r w:rsidR="00542676">
        <w:t xml:space="preserve">budget </w:t>
      </w:r>
      <w:r>
        <w:t>will</w:t>
      </w:r>
      <w:r w:rsidR="00542676">
        <w:t xml:space="preserve"> include the</w:t>
      </w:r>
      <w:r w:rsidR="006F015E">
        <w:t xml:space="preserve"> </w:t>
      </w:r>
      <w:r w:rsidR="004D5583">
        <w:t xml:space="preserve">full </w:t>
      </w:r>
      <w:r w:rsidR="006F015E">
        <w:t>tender</w:t>
      </w:r>
      <w:r w:rsidR="00992CCD">
        <w:t>ed</w:t>
      </w:r>
      <w:r w:rsidR="006F015E">
        <w:t xml:space="preserve"> </w:t>
      </w:r>
      <w:r w:rsidR="008661E8">
        <w:t>sum</w:t>
      </w:r>
      <w:r w:rsidR="00091AA6">
        <w:t>,</w:t>
      </w:r>
      <w:r>
        <w:t xml:space="preserve"> a contingency sum,</w:t>
      </w:r>
      <w:r w:rsidR="00542676">
        <w:t xml:space="preserve"> associated </w:t>
      </w:r>
      <w:r w:rsidR="00A72741">
        <w:t xml:space="preserve">pre start </w:t>
      </w:r>
      <w:r w:rsidR="00542676">
        <w:t>works</w:t>
      </w:r>
      <w:r w:rsidR="00CD0BB6">
        <w:t xml:space="preserve">, </w:t>
      </w:r>
      <w:r w:rsidR="007376BF">
        <w:t>consultan</w:t>
      </w:r>
      <w:r w:rsidR="00A51E18">
        <w:t>cy costs</w:t>
      </w:r>
      <w:r w:rsidR="00091AA6">
        <w:t>,</w:t>
      </w:r>
      <w:r w:rsidR="007376BF">
        <w:t xml:space="preserve"> and </w:t>
      </w:r>
      <w:r>
        <w:t xml:space="preserve">capitalised </w:t>
      </w:r>
      <w:r w:rsidR="007376BF">
        <w:t>staff</w:t>
      </w:r>
      <w:r w:rsidR="00A72741">
        <w:t>ing</w:t>
      </w:r>
      <w:r w:rsidR="007376BF">
        <w:t xml:space="preserve"> costs</w:t>
      </w:r>
      <w:r w:rsidR="004D5583">
        <w:t xml:space="preserve">. </w:t>
      </w:r>
    </w:p>
    <w:p w14:paraId="4004AD85" w14:textId="0E819E63" w:rsidR="00DD607B" w:rsidRDefault="00DD607B" w:rsidP="00B76CE3">
      <w:pPr>
        <w:jc w:val="both"/>
      </w:pPr>
    </w:p>
    <w:p w14:paraId="0735F2D9" w14:textId="391BB07A" w:rsidR="00542676" w:rsidRDefault="00F740F4" w:rsidP="004D68EA">
      <w:pPr>
        <w:jc w:val="both"/>
      </w:pPr>
      <w:r>
        <w:t xml:space="preserve">An increased budget </w:t>
      </w:r>
      <w:r w:rsidR="000F3783">
        <w:t>w</w:t>
      </w:r>
      <w:r>
        <w:t>ill</w:t>
      </w:r>
      <w:r w:rsidR="000F3783">
        <w:t xml:space="preserve"> ensure </w:t>
      </w:r>
      <w:r>
        <w:t>a</w:t>
      </w:r>
      <w:r w:rsidR="004D5583">
        <w:t xml:space="preserve"> full </w:t>
      </w:r>
      <w:r>
        <w:t xml:space="preserve">comprehensive </w:t>
      </w:r>
      <w:r w:rsidR="00A46326">
        <w:t>security, and h</w:t>
      </w:r>
      <w:r>
        <w:t xml:space="preserve">ealth and </w:t>
      </w:r>
      <w:r w:rsidR="00A46326">
        <w:t>s</w:t>
      </w:r>
      <w:r>
        <w:t>afety compliance</w:t>
      </w:r>
      <w:r w:rsidR="004D5583">
        <w:t xml:space="preserve"> </w:t>
      </w:r>
      <w:r w:rsidR="00E93D8B">
        <w:t>P</w:t>
      </w:r>
      <w:r w:rsidR="004D5583">
        <w:t xml:space="preserve">rogramme </w:t>
      </w:r>
      <w:r w:rsidR="00B76CE3">
        <w:t>is</w:t>
      </w:r>
      <w:r w:rsidR="004D5583">
        <w:t xml:space="preserve"> delivered</w:t>
      </w:r>
      <w:r w:rsidR="00542676">
        <w:t xml:space="preserve"> </w:t>
      </w:r>
      <w:r w:rsidR="002E184C">
        <w:t>to</w:t>
      </w:r>
      <w:r w:rsidR="00542676">
        <w:t xml:space="preserve"> 4</w:t>
      </w:r>
      <w:r w:rsidR="000231A2">
        <w:t>34</w:t>
      </w:r>
      <w:r w:rsidR="00542676">
        <w:t xml:space="preserve"> flats </w:t>
      </w:r>
      <w:r w:rsidR="00567F34">
        <w:t xml:space="preserve">contained </w:t>
      </w:r>
      <w:r w:rsidR="00542676">
        <w:t>within 6</w:t>
      </w:r>
      <w:r w:rsidR="000231A2">
        <w:t>5</w:t>
      </w:r>
      <w:r w:rsidR="00542676">
        <w:t xml:space="preserve"> blocks</w:t>
      </w:r>
      <w:r>
        <w:t xml:space="preserve"> across the borough</w:t>
      </w:r>
      <w:r w:rsidR="004D5583">
        <w:t xml:space="preserve">. </w:t>
      </w:r>
      <w:r w:rsidR="0050081C">
        <w:t xml:space="preserve">This </w:t>
      </w:r>
      <w:r>
        <w:t>will</w:t>
      </w:r>
      <w:r w:rsidR="0050081C">
        <w:t xml:space="preserve"> also allow officers to make</w:t>
      </w:r>
      <w:r w:rsidR="007A73AA">
        <w:t xml:space="preserve"> more</w:t>
      </w:r>
      <w:r w:rsidR="0050081C">
        <w:t xml:space="preserve"> homes and blocks safer and </w:t>
      </w:r>
      <w:r w:rsidR="00913161">
        <w:t xml:space="preserve">more </w:t>
      </w:r>
      <w:r w:rsidR="0050081C">
        <w:t xml:space="preserve">secure than originally planned.  This </w:t>
      </w:r>
      <w:r w:rsidR="00C9384D">
        <w:t>will</w:t>
      </w:r>
      <w:r w:rsidR="0050081C">
        <w:t xml:space="preserve"> also save time and internal costs </w:t>
      </w:r>
      <w:r w:rsidR="00B76CE3">
        <w:t xml:space="preserve">for </w:t>
      </w:r>
      <w:r w:rsidR="0050081C">
        <w:t xml:space="preserve">the future procurement of </w:t>
      </w:r>
      <w:r w:rsidR="00913161">
        <w:t xml:space="preserve">works to </w:t>
      </w:r>
      <w:r w:rsidR="0050081C">
        <w:t>these homes and blocks</w:t>
      </w:r>
      <w:r>
        <w:t xml:space="preserve"> by </w:t>
      </w:r>
      <w:r w:rsidR="00E93D8B">
        <w:t>including</w:t>
      </w:r>
      <w:r>
        <w:t xml:space="preserve"> them in</w:t>
      </w:r>
      <w:r w:rsidR="00E93D8B">
        <w:t xml:space="preserve"> this enhanced Programme now. </w:t>
      </w:r>
    </w:p>
    <w:p w14:paraId="3BB2145F" w14:textId="77777777" w:rsidR="00542676" w:rsidRDefault="00542676" w:rsidP="00542676">
      <w:pPr>
        <w:ind w:left="765"/>
      </w:pPr>
    </w:p>
    <w:p w14:paraId="0A078380" w14:textId="467B1DBD" w:rsidR="00AD1E77" w:rsidRDefault="00A72741" w:rsidP="00A72741">
      <w:pPr>
        <w:pStyle w:val="Heading3"/>
        <w:spacing w:before="240"/>
        <w:ind w:left="0" w:firstLine="0"/>
        <w:jc w:val="left"/>
      </w:pPr>
      <w:r>
        <w:t xml:space="preserve">2.1 </w:t>
      </w:r>
      <w:r w:rsidR="001C7E35">
        <w:t xml:space="preserve">Options </w:t>
      </w:r>
      <w:r w:rsidR="00220F76">
        <w:t>C</w:t>
      </w:r>
      <w:r w:rsidR="001C7E35">
        <w:t xml:space="preserve">onsidered  </w:t>
      </w:r>
    </w:p>
    <w:p w14:paraId="236A7A0D" w14:textId="77777777" w:rsidR="004D68EA" w:rsidRPr="004D68EA" w:rsidRDefault="004D68EA" w:rsidP="004D68EA">
      <w:pPr>
        <w:pStyle w:val="ListParagraph"/>
        <w:ind w:left="765"/>
      </w:pPr>
    </w:p>
    <w:p w14:paraId="2E6EB200" w14:textId="4BDA18BC" w:rsidR="00544862" w:rsidRPr="00544862" w:rsidRDefault="00544862" w:rsidP="00544862">
      <w:pPr>
        <w:outlineLvl w:val="1"/>
      </w:pPr>
      <w:r w:rsidRPr="00544862">
        <w:t>The procurement options considered were as follows:</w:t>
      </w:r>
    </w:p>
    <w:p w14:paraId="67AF81AA" w14:textId="77777777" w:rsidR="00544862" w:rsidRPr="00544862" w:rsidRDefault="00544862" w:rsidP="00544862"/>
    <w:p w14:paraId="530E4487" w14:textId="4140615D" w:rsidR="00544862" w:rsidRDefault="005745DF" w:rsidP="004D68EA">
      <w:pPr>
        <w:numPr>
          <w:ilvl w:val="0"/>
          <w:numId w:val="8"/>
        </w:numPr>
        <w:jc w:val="both"/>
        <w:outlineLvl w:val="1"/>
        <w:rPr>
          <w:b/>
        </w:rPr>
      </w:pPr>
      <w:r>
        <w:rPr>
          <w:b/>
        </w:rPr>
        <w:t xml:space="preserve">Commence </w:t>
      </w:r>
      <w:r w:rsidR="000E1318">
        <w:rPr>
          <w:b/>
        </w:rPr>
        <w:t>an</w:t>
      </w:r>
      <w:r w:rsidR="00C9384D">
        <w:rPr>
          <w:b/>
        </w:rPr>
        <w:t xml:space="preserve"> open tender and award to one </w:t>
      </w:r>
      <w:r w:rsidR="00BE7AC5">
        <w:rPr>
          <w:b/>
        </w:rPr>
        <w:t>contractor</w:t>
      </w:r>
      <w:r w:rsidR="002C44BF">
        <w:rPr>
          <w:b/>
        </w:rPr>
        <w:t>:</w:t>
      </w:r>
    </w:p>
    <w:p w14:paraId="024BC6FD" w14:textId="77777777" w:rsidR="004D68EA" w:rsidRPr="00544862" w:rsidRDefault="004D68EA" w:rsidP="004D68EA">
      <w:pPr>
        <w:ind w:left="360"/>
        <w:jc w:val="both"/>
        <w:outlineLvl w:val="1"/>
        <w:rPr>
          <w:b/>
        </w:rPr>
      </w:pPr>
    </w:p>
    <w:p w14:paraId="2466B621" w14:textId="0F777E75" w:rsidR="00C9384D" w:rsidRPr="00C9384D" w:rsidRDefault="00C9384D" w:rsidP="00C9384D">
      <w:pPr>
        <w:pStyle w:val="Heading2"/>
        <w:jc w:val="both"/>
        <w:rPr>
          <w:rFonts w:ascii="Arial" w:hAnsi="Arial" w:cs="Times New Roman"/>
          <w:b w:val="0"/>
          <w:bCs w:val="0"/>
          <w:sz w:val="24"/>
          <w:szCs w:val="20"/>
        </w:rPr>
      </w:pPr>
      <w:r w:rsidRPr="00C9384D">
        <w:rPr>
          <w:rFonts w:ascii="Arial" w:hAnsi="Arial" w:cs="Times New Roman"/>
          <w:b w:val="0"/>
          <w:bCs w:val="0"/>
          <w:sz w:val="24"/>
          <w:szCs w:val="20"/>
        </w:rPr>
        <w:t xml:space="preserve">Engaging in an open tender would allow for wider competition. This would be subject to </w:t>
      </w:r>
      <w:r w:rsidR="001B244B">
        <w:rPr>
          <w:rFonts w:ascii="Arial" w:hAnsi="Arial" w:cs="Times New Roman"/>
          <w:b w:val="0"/>
          <w:bCs w:val="0"/>
          <w:sz w:val="24"/>
          <w:szCs w:val="20"/>
        </w:rPr>
        <w:t>s</w:t>
      </w:r>
      <w:r w:rsidRPr="00C9384D">
        <w:rPr>
          <w:rFonts w:ascii="Arial" w:hAnsi="Arial" w:cs="Times New Roman"/>
          <w:b w:val="0"/>
          <w:bCs w:val="0"/>
          <w:sz w:val="24"/>
          <w:szCs w:val="20"/>
        </w:rPr>
        <w:t xml:space="preserve">tatutory Section 20 </w:t>
      </w:r>
      <w:r w:rsidR="00B94296">
        <w:rPr>
          <w:rFonts w:ascii="Arial" w:hAnsi="Arial" w:cs="Times New Roman"/>
          <w:b w:val="0"/>
          <w:bCs w:val="0"/>
          <w:sz w:val="24"/>
          <w:szCs w:val="20"/>
        </w:rPr>
        <w:t xml:space="preserve">leaseholder </w:t>
      </w:r>
      <w:r w:rsidRPr="00C9384D">
        <w:rPr>
          <w:rFonts w:ascii="Arial" w:hAnsi="Arial" w:cs="Times New Roman"/>
          <w:b w:val="0"/>
          <w:bCs w:val="0"/>
          <w:sz w:val="24"/>
          <w:szCs w:val="20"/>
        </w:rPr>
        <w:t xml:space="preserve">consultation and will allow us to recover a proportion of the costs </w:t>
      </w:r>
      <w:r w:rsidR="00B94296">
        <w:rPr>
          <w:rFonts w:ascii="Arial" w:hAnsi="Arial" w:cs="Times New Roman"/>
          <w:b w:val="0"/>
          <w:bCs w:val="0"/>
          <w:sz w:val="24"/>
          <w:szCs w:val="20"/>
        </w:rPr>
        <w:t xml:space="preserve">of the works </w:t>
      </w:r>
      <w:r w:rsidRPr="00C9384D">
        <w:rPr>
          <w:rFonts w:ascii="Arial" w:hAnsi="Arial" w:cs="Times New Roman"/>
          <w:b w:val="0"/>
          <w:bCs w:val="0"/>
          <w:sz w:val="24"/>
          <w:szCs w:val="20"/>
        </w:rPr>
        <w:t xml:space="preserve">from leaseholders. </w:t>
      </w:r>
    </w:p>
    <w:p w14:paraId="018E1C97" w14:textId="77777777" w:rsidR="006959CF" w:rsidRDefault="006959CF" w:rsidP="004D68EA">
      <w:pPr>
        <w:jc w:val="both"/>
        <w:outlineLvl w:val="1"/>
      </w:pPr>
    </w:p>
    <w:p w14:paraId="3F3752C3" w14:textId="61F27CB9" w:rsidR="00544862" w:rsidRPr="004D68EA" w:rsidRDefault="00FC625E" w:rsidP="004D68EA">
      <w:pPr>
        <w:pStyle w:val="ListParagraph"/>
        <w:numPr>
          <w:ilvl w:val="0"/>
          <w:numId w:val="8"/>
        </w:numPr>
        <w:rPr>
          <w:b/>
        </w:rPr>
      </w:pPr>
      <w:bookmarkStart w:id="0" w:name="_Hlk76632157"/>
      <w:r>
        <w:rPr>
          <w:b/>
        </w:rPr>
        <w:t>R</w:t>
      </w:r>
      <w:r w:rsidR="00AB2E74" w:rsidRPr="004D68EA">
        <w:rPr>
          <w:b/>
        </w:rPr>
        <w:t>educ</w:t>
      </w:r>
      <w:r w:rsidR="003B1699" w:rsidRPr="004D68EA">
        <w:rPr>
          <w:b/>
        </w:rPr>
        <w:t>ing the</w:t>
      </w:r>
      <w:r w:rsidR="00AB2E74" w:rsidRPr="004D68EA">
        <w:rPr>
          <w:b/>
        </w:rPr>
        <w:t xml:space="preserve"> </w:t>
      </w:r>
      <w:r w:rsidR="003B1699" w:rsidRPr="004D68EA">
        <w:rPr>
          <w:b/>
        </w:rPr>
        <w:t>s</w:t>
      </w:r>
      <w:r w:rsidR="00AB2E74" w:rsidRPr="004D68EA">
        <w:rPr>
          <w:b/>
        </w:rPr>
        <w:t xml:space="preserve">cope of </w:t>
      </w:r>
      <w:r w:rsidR="003B1699" w:rsidRPr="004D68EA">
        <w:rPr>
          <w:b/>
        </w:rPr>
        <w:t>w</w:t>
      </w:r>
      <w:r w:rsidR="00AB2E74" w:rsidRPr="004D68EA">
        <w:rPr>
          <w:b/>
        </w:rPr>
        <w:t>orks</w:t>
      </w:r>
      <w:r w:rsidR="002C44BF" w:rsidRPr="004D68EA">
        <w:rPr>
          <w:b/>
        </w:rPr>
        <w:t xml:space="preserve"> but retaining all 65 blocks:</w:t>
      </w:r>
    </w:p>
    <w:p w14:paraId="7E921077" w14:textId="77777777" w:rsidR="004D68EA" w:rsidRPr="004D68EA" w:rsidRDefault="004D68EA" w:rsidP="004D68EA">
      <w:pPr>
        <w:pStyle w:val="ListParagraph"/>
        <w:ind w:left="360"/>
        <w:rPr>
          <w:b/>
        </w:rPr>
      </w:pPr>
    </w:p>
    <w:bookmarkEnd w:id="0"/>
    <w:p w14:paraId="3AE6B44E" w14:textId="0B5D9C8D" w:rsidR="004E4E55" w:rsidRDefault="00BD6443" w:rsidP="004D68EA">
      <w:pPr>
        <w:jc w:val="both"/>
      </w:pPr>
      <w:r>
        <w:t>This would reduce the</w:t>
      </w:r>
      <w:r w:rsidRPr="00544862">
        <w:t xml:space="preserve"> </w:t>
      </w:r>
      <w:r w:rsidR="00544862" w:rsidRPr="00544862">
        <w:t xml:space="preserve">specification of works </w:t>
      </w:r>
      <w:r>
        <w:t>to cover just</w:t>
      </w:r>
      <w:r w:rsidRPr="00544862">
        <w:t xml:space="preserve"> </w:t>
      </w:r>
      <w:r w:rsidR="00544862" w:rsidRPr="00544862">
        <w:t>essential compliance and b</w:t>
      </w:r>
      <w:r w:rsidR="00AB2E74">
        <w:t>l</w:t>
      </w:r>
      <w:r w:rsidR="00544862" w:rsidRPr="00544862">
        <w:t>ock security and associated works only</w:t>
      </w:r>
      <w:r w:rsidR="005C2577" w:rsidRPr="00C13238">
        <w:t>.</w:t>
      </w:r>
      <w:r w:rsidR="00317D05">
        <w:t xml:space="preserve"> </w:t>
      </w:r>
      <w:r>
        <w:t>While thi</w:t>
      </w:r>
      <w:r w:rsidR="00544862" w:rsidRPr="00544862">
        <w:t>s would not impact on critical fire safety</w:t>
      </w:r>
      <w:r>
        <w:t xml:space="preserve"> it </w:t>
      </w:r>
      <w:r w:rsidR="00D614EC">
        <w:t>would</w:t>
      </w:r>
      <w:r>
        <w:t xml:space="preserve"> impact on </w:t>
      </w:r>
      <w:r w:rsidRPr="00F74726">
        <w:t>bringing forward vital security improvements</w:t>
      </w:r>
      <w:r w:rsidR="003D6728" w:rsidRPr="00F74726">
        <w:t xml:space="preserve"> such as some </w:t>
      </w:r>
      <w:r w:rsidR="0070430F" w:rsidRPr="00F74726">
        <w:t xml:space="preserve">communal entrance doors </w:t>
      </w:r>
      <w:r w:rsidR="00FF7CEF" w:rsidRPr="00F74726">
        <w:t xml:space="preserve">replacements </w:t>
      </w:r>
      <w:r w:rsidR="00F21C34" w:rsidRPr="00F74726">
        <w:t>and level access approach</w:t>
      </w:r>
      <w:r w:rsidR="003D6728" w:rsidRPr="00F74726">
        <w:t>es</w:t>
      </w:r>
      <w:r w:rsidR="003D77C3" w:rsidRPr="00F74726">
        <w:t xml:space="preserve"> </w:t>
      </w:r>
      <w:r w:rsidR="003D77C3" w:rsidRPr="00C13238">
        <w:t xml:space="preserve">and </w:t>
      </w:r>
      <w:r w:rsidR="006959CF">
        <w:t xml:space="preserve">the FD30S </w:t>
      </w:r>
      <w:r w:rsidR="00B668F7" w:rsidRPr="00C13238">
        <w:t>certification</w:t>
      </w:r>
      <w:r w:rsidR="003D77C3" w:rsidRPr="00C13238">
        <w:t xml:space="preserve"> of </w:t>
      </w:r>
      <w:r w:rsidR="00B668F7" w:rsidRPr="00C13238">
        <w:t xml:space="preserve">all fire </w:t>
      </w:r>
      <w:r w:rsidR="00BC33EB" w:rsidRPr="00C13238">
        <w:t xml:space="preserve">store </w:t>
      </w:r>
      <w:r w:rsidR="00B668F7" w:rsidRPr="00C13238">
        <w:t>door</w:t>
      </w:r>
      <w:r w:rsidR="00861FD5" w:rsidRPr="00C13238">
        <w:t>set</w:t>
      </w:r>
      <w:r w:rsidR="00B668F7" w:rsidRPr="00C13238">
        <w:t>s</w:t>
      </w:r>
      <w:r w:rsidR="00122A05" w:rsidRPr="00C13238">
        <w:t xml:space="preserve"> on the protected escape route</w:t>
      </w:r>
      <w:r w:rsidR="0014332D" w:rsidRPr="00C13238">
        <w:t>s</w:t>
      </w:r>
      <w:r w:rsidR="00F21C34" w:rsidRPr="00C13238">
        <w:t>.</w:t>
      </w:r>
    </w:p>
    <w:p w14:paraId="7472D22C" w14:textId="77777777" w:rsidR="004E4E55" w:rsidRDefault="004E4E55" w:rsidP="004E4E55"/>
    <w:p w14:paraId="6656A7D7" w14:textId="1C65A4AA" w:rsidR="004E4E55" w:rsidRDefault="00605072" w:rsidP="004D68EA">
      <w:pPr>
        <w:pStyle w:val="ListParagraph"/>
        <w:numPr>
          <w:ilvl w:val="0"/>
          <w:numId w:val="13"/>
        </w:numPr>
        <w:jc w:val="both"/>
      </w:pPr>
      <w:r>
        <w:t>Deferring</w:t>
      </w:r>
      <w:r w:rsidR="004D4FBC">
        <w:t xml:space="preserve"> </w:t>
      </w:r>
      <w:r w:rsidR="001B4C5B">
        <w:t>entrance door</w:t>
      </w:r>
      <w:r w:rsidR="000D0D35">
        <w:t xml:space="preserve"> replacement</w:t>
      </w:r>
      <w:r w:rsidR="001B4C5B">
        <w:t xml:space="preserve"> need</w:t>
      </w:r>
      <w:r w:rsidR="00212CEE">
        <w:t>ing</w:t>
      </w:r>
      <w:r w:rsidR="001B4C5B">
        <w:t xml:space="preserve"> replacement </w:t>
      </w:r>
      <w:r>
        <w:t xml:space="preserve">now </w:t>
      </w:r>
      <w:r w:rsidR="0070430F">
        <w:t>w</w:t>
      </w:r>
      <w:r w:rsidR="001B4C5B">
        <w:t>ould</w:t>
      </w:r>
      <w:r w:rsidR="0070430F">
        <w:t xml:space="preserve"> </w:t>
      </w:r>
      <w:r w:rsidR="0070430F" w:rsidRPr="00212CEE">
        <w:t xml:space="preserve">compromise block </w:t>
      </w:r>
      <w:r w:rsidR="00FF7CEF" w:rsidRPr="00212CEE">
        <w:t xml:space="preserve">and </w:t>
      </w:r>
      <w:r w:rsidR="00163B6E" w:rsidRPr="00212CEE">
        <w:t>resident’s</w:t>
      </w:r>
      <w:r w:rsidR="0070430F" w:rsidRPr="00212CEE">
        <w:t xml:space="preserve"> security</w:t>
      </w:r>
      <w:r w:rsidR="00095A3B" w:rsidRPr="00212CEE">
        <w:t xml:space="preserve"> </w:t>
      </w:r>
      <w:r w:rsidRPr="00212CEE">
        <w:t xml:space="preserve">and increase maintenance </w:t>
      </w:r>
      <w:r w:rsidR="00DA32B8" w:rsidRPr="00212CEE">
        <w:t xml:space="preserve">in the short term until they could be replaced on </w:t>
      </w:r>
      <w:r w:rsidR="000D0D35" w:rsidRPr="00212CEE">
        <w:t xml:space="preserve">a </w:t>
      </w:r>
      <w:r w:rsidR="00FA5A0F" w:rsidRPr="00212CEE">
        <w:t xml:space="preserve">future </w:t>
      </w:r>
      <w:r w:rsidR="00DA32B8" w:rsidRPr="00212CEE">
        <w:t>programme.</w:t>
      </w:r>
      <w:r w:rsidR="00653D8C" w:rsidRPr="00212CEE">
        <w:t xml:space="preserve"> </w:t>
      </w:r>
      <w:r w:rsidR="00532DC8" w:rsidRPr="00C13238">
        <w:t xml:space="preserve">The door entry systems </w:t>
      </w:r>
      <w:r w:rsidR="00212CEE" w:rsidRPr="00C13238">
        <w:t xml:space="preserve">across the borough </w:t>
      </w:r>
      <w:r w:rsidR="00532DC8" w:rsidRPr="00C13238">
        <w:t>are obsolete</w:t>
      </w:r>
      <w:r w:rsidR="005F77BC" w:rsidRPr="00C13238">
        <w:t xml:space="preserve">, </w:t>
      </w:r>
      <w:r w:rsidR="00532DC8" w:rsidRPr="00C13238">
        <w:t xml:space="preserve">repairs may not be </w:t>
      </w:r>
      <w:r w:rsidR="00F94548" w:rsidRPr="00C13238">
        <w:t>possible</w:t>
      </w:r>
      <w:r w:rsidR="00BB3E87" w:rsidRPr="00C13238">
        <w:t xml:space="preserve"> should they fail, </w:t>
      </w:r>
      <w:r w:rsidR="005F77BC" w:rsidRPr="00C13238">
        <w:t xml:space="preserve">as is the </w:t>
      </w:r>
      <w:r w:rsidR="008439C9" w:rsidRPr="00C13238">
        <w:t>situation</w:t>
      </w:r>
      <w:r w:rsidR="005F77BC" w:rsidRPr="00C13238">
        <w:t xml:space="preserve"> for some blocks in the borough</w:t>
      </w:r>
      <w:r w:rsidR="00C7448E" w:rsidRPr="00C13238">
        <w:t xml:space="preserve">, </w:t>
      </w:r>
      <w:r w:rsidR="000D0D35" w:rsidRPr="00C13238">
        <w:t xml:space="preserve">leaving </w:t>
      </w:r>
      <w:r w:rsidR="008D7E9E" w:rsidRPr="00C13238">
        <w:t xml:space="preserve">blocks without security until </w:t>
      </w:r>
      <w:r w:rsidR="00CF35C4" w:rsidRPr="00C13238">
        <w:t>replacement</w:t>
      </w:r>
      <w:r w:rsidR="00F94548" w:rsidRPr="00C13238">
        <w:t>.</w:t>
      </w:r>
    </w:p>
    <w:p w14:paraId="026AC80E" w14:textId="77777777" w:rsidR="00954267" w:rsidRDefault="00954267" w:rsidP="00501C14">
      <w:pPr>
        <w:pStyle w:val="ListParagraph"/>
        <w:ind w:left="360"/>
        <w:jc w:val="both"/>
      </w:pPr>
    </w:p>
    <w:p w14:paraId="0DFE75B3" w14:textId="2A051963" w:rsidR="0070430F" w:rsidRDefault="00FA5A0F" w:rsidP="004E4E55">
      <w:pPr>
        <w:pStyle w:val="ListParagraph"/>
        <w:numPr>
          <w:ilvl w:val="0"/>
          <w:numId w:val="13"/>
        </w:numPr>
      </w:pPr>
      <w:r>
        <w:lastRenderedPageBreak/>
        <w:t>L</w:t>
      </w:r>
      <w:r w:rsidR="0070430F">
        <w:t xml:space="preserve">evel access </w:t>
      </w:r>
      <w:r w:rsidR="00FF7CEF">
        <w:t xml:space="preserve">is </w:t>
      </w:r>
      <w:r w:rsidR="00FD76FA">
        <w:t>Council</w:t>
      </w:r>
      <w:r w:rsidR="00FF7CEF">
        <w:t xml:space="preserve"> </w:t>
      </w:r>
      <w:r w:rsidR="00FC625E">
        <w:t>p</w:t>
      </w:r>
      <w:r w:rsidR="00FF7CEF">
        <w:t xml:space="preserve">olicy and embraces diversity </w:t>
      </w:r>
      <w:r w:rsidR="00B600C7">
        <w:t>f</w:t>
      </w:r>
      <w:r w:rsidR="00FF7CEF">
        <w:t xml:space="preserve">or residents and their </w:t>
      </w:r>
      <w:r w:rsidR="002327FA">
        <w:t>visitor’s</w:t>
      </w:r>
      <w:r w:rsidR="00006EA5">
        <w:t>.</w:t>
      </w:r>
      <w:r w:rsidR="006959CF">
        <w:t xml:space="preserve"> </w:t>
      </w:r>
      <w:r w:rsidR="00006EA5">
        <w:t>O</w:t>
      </w:r>
      <w:r w:rsidR="009C1D5F">
        <w:t xml:space="preserve">mission of these works avoids </w:t>
      </w:r>
      <w:r w:rsidR="003D33D8">
        <w:t>Harrow’s responsibility to address these issues</w:t>
      </w:r>
      <w:r w:rsidR="006959CF">
        <w:t xml:space="preserve"> where they can be reasonably achieved</w:t>
      </w:r>
      <w:r w:rsidR="003D33D8">
        <w:t>.</w:t>
      </w:r>
    </w:p>
    <w:p w14:paraId="5EBEC045" w14:textId="77777777" w:rsidR="00544862" w:rsidRPr="00544862" w:rsidRDefault="00544862" w:rsidP="00544862"/>
    <w:p w14:paraId="56E30E80" w14:textId="310E0547" w:rsidR="00544862" w:rsidRPr="004D68EA" w:rsidRDefault="00544862" w:rsidP="004D68EA">
      <w:pPr>
        <w:pStyle w:val="ListParagraph"/>
        <w:numPr>
          <w:ilvl w:val="0"/>
          <w:numId w:val="8"/>
        </w:numPr>
        <w:rPr>
          <w:b/>
        </w:rPr>
      </w:pPr>
      <w:r w:rsidRPr="004D68EA">
        <w:rPr>
          <w:b/>
        </w:rPr>
        <w:t>Omission of Blocks</w:t>
      </w:r>
    </w:p>
    <w:p w14:paraId="59D08F15" w14:textId="77777777" w:rsidR="004D68EA" w:rsidRPr="004D68EA" w:rsidRDefault="004D68EA" w:rsidP="004D68EA">
      <w:pPr>
        <w:rPr>
          <w:b/>
        </w:rPr>
      </w:pPr>
    </w:p>
    <w:p w14:paraId="6864C67B" w14:textId="3043E84D" w:rsidR="001212E3" w:rsidRDefault="00544862" w:rsidP="004D68EA">
      <w:pPr>
        <w:jc w:val="both"/>
      </w:pPr>
      <w:r w:rsidRPr="00544862">
        <w:t xml:space="preserve">The </w:t>
      </w:r>
      <w:r w:rsidR="00D3405F">
        <w:t>t</w:t>
      </w:r>
      <w:r w:rsidRPr="00544862">
        <w:t xml:space="preserve">ender </w:t>
      </w:r>
      <w:r w:rsidR="000415FE">
        <w:t>will contain</w:t>
      </w:r>
      <w:r w:rsidRPr="00544862">
        <w:t xml:space="preserve"> compliance and security works to 4</w:t>
      </w:r>
      <w:r w:rsidR="00AE459C">
        <w:t>34</w:t>
      </w:r>
      <w:r w:rsidRPr="00544862">
        <w:t xml:space="preserve"> flats in 6</w:t>
      </w:r>
      <w:r w:rsidR="00AE459C">
        <w:t>5</w:t>
      </w:r>
      <w:r w:rsidRPr="00544862">
        <w:t xml:space="preserve"> blocks </w:t>
      </w:r>
      <w:r w:rsidR="00FC625E">
        <w:t xml:space="preserve">and </w:t>
      </w:r>
      <w:r w:rsidRPr="00544862">
        <w:t>entrances</w:t>
      </w:r>
      <w:r w:rsidR="00FC625E">
        <w:t>. T</w:t>
      </w:r>
      <w:r w:rsidRPr="00544862">
        <w:t xml:space="preserve">o make </w:t>
      </w:r>
      <w:r w:rsidR="00DF69D3">
        <w:t>additional</w:t>
      </w:r>
      <w:r w:rsidRPr="00544862">
        <w:t xml:space="preserve"> </w:t>
      </w:r>
      <w:r w:rsidR="000A24CF">
        <w:t>savings</w:t>
      </w:r>
      <w:r w:rsidRPr="00544862">
        <w:t xml:space="preserve"> over and above the </w:t>
      </w:r>
      <w:r w:rsidR="00D90C3D">
        <w:t>‘S</w:t>
      </w:r>
      <w:r w:rsidRPr="00544862">
        <w:t xml:space="preserve">chedule of </w:t>
      </w:r>
      <w:r w:rsidR="00D90C3D">
        <w:t>R</w:t>
      </w:r>
      <w:r w:rsidRPr="00544862">
        <w:t>eductions</w:t>
      </w:r>
      <w:r w:rsidR="00D90C3D">
        <w:t>’</w:t>
      </w:r>
      <w:r w:rsidRPr="00544862">
        <w:t xml:space="preserve"> </w:t>
      </w:r>
      <w:r w:rsidR="00FF7CEF">
        <w:t xml:space="preserve">in b) above </w:t>
      </w:r>
      <w:r w:rsidRPr="00544862">
        <w:t xml:space="preserve">or remove blocks only </w:t>
      </w:r>
      <w:r w:rsidR="00F22C8A">
        <w:t xml:space="preserve">without reductions </w:t>
      </w:r>
      <w:r w:rsidR="00B124BA">
        <w:t xml:space="preserve">in specification </w:t>
      </w:r>
      <w:r w:rsidRPr="00544862">
        <w:t xml:space="preserve">would require the omission of </w:t>
      </w:r>
      <w:r w:rsidR="00F22C8A">
        <w:t xml:space="preserve">at least </w:t>
      </w:r>
      <w:r w:rsidRPr="00544862">
        <w:t xml:space="preserve">19 </w:t>
      </w:r>
      <w:r w:rsidR="00DA09C6">
        <w:t xml:space="preserve">priority </w:t>
      </w:r>
      <w:r w:rsidRPr="00544862">
        <w:t>blocks</w:t>
      </w:r>
      <w:r w:rsidR="00F22C8A">
        <w:t xml:space="preserve"> </w:t>
      </w:r>
      <w:r w:rsidRPr="00544862">
        <w:t xml:space="preserve">to </w:t>
      </w:r>
      <w:r w:rsidR="00FF7CEF">
        <w:t>scale back</w:t>
      </w:r>
      <w:r w:rsidRPr="00544862">
        <w:t xml:space="preserve"> the </w:t>
      </w:r>
      <w:r w:rsidR="00FF7CEF">
        <w:t xml:space="preserve">scheme to </w:t>
      </w:r>
      <w:r w:rsidR="00CE15C0">
        <w:t xml:space="preserve">the </w:t>
      </w:r>
      <w:r w:rsidR="000415FE">
        <w:t xml:space="preserve">originally approved </w:t>
      </w:r>
      <w:r w:rsidR="00CE15C0">
        <w:t xml:space="preserve">budget of </w:t>
      </w:r>
      <w:r w:rsidRPr="00544862">
        <w:t>£2.4m</w:t>
      </w:r>
      <w:r w:rsidR="001212E3">
        <w:t>.</w:t>
      </w:r>
    </w:p>
    <w:p w14:paraId="5FB032DE" w14:textId="31AD8219" w:rsidR="00544862" w:rsidRPr="00544862" w:rsidRDefault="00544862" w:rsidP="00544862">
      <w:r w:rsidRPr="00544862">
        <w:t xml:space="preserve"> </w:t>
      </w:r>
    </w:p>
    <w:p w14:paraId="1738A14E" w14:textId="183C8D0A" w:rsidR="000415FE" w:rsidRPr="00544862" w:rsidRDefault="000415FE" w:rsidP="000415FE">
      <w:pPr>
        <w:jc w:val="both"/>
      </w:pPr>
      <w:r>
        <w:t>A</w:t>
      </w:r>
      <w:r w:rsidRPr="00544862">
        <w:t>ll the blocks</w:t>
      </w:r>
      <w:r>
        <w:t xml:space="preserve"> to be </w:t>
      </w:r>
      <w:r w:rsidRPr="00544862">
        <w:t xml:space="preserve">tendered under the Security and Compliance Homesafe-3 </w:t>
      </w:r>
      <w:r w:rsidR="00CE4BCC">
        <w:t>P</w:t>
      </w:r>
      <w:r w:rsidRPr="00544862">
        <w:t xml:space="preserve">rogramme </w:t>
      </w:r>
      <w:r>
        <w:t>have been identified as</w:t>
      </w:r>
      <w:r w:rsidRPr="00544862">
        <w:t xml:space="preserve"> priority blocks in terms of fire compliance, safety, and security</w:t>
      </w:r>
      <w:r>
        <w:t>.</w:t>
      </w:r>
      <w:r w:rsidRPr="00544862">
        <w:t xml:space="preserve"> </w:t>
      </w:r>
      <w:r>
        <w:t xml:space="preserve">Officers’ opinion is that these works are a </w:t>
      </w:r>
      <w:r w:rsidR="00B774AC">
        <w:t>priority,</w:t>
      </w:r>
      <w:r>
        <w:t xml:space="preserve"> and they would like to ensure that more homes are completed sooner for these </w:t>
      </w:r>
      <w:r w:rsidR="00E8279F">
        <w:t>priority</w:t>
      </w:r>
      <w:r>
        <w:t xml:space="preserve"> safety and security works.  The procure</w:t>
      </w:r>
      <w:r w:rsidR="00A51791">
        <w:t>ment</w:t>
      </w:r>
      <w:r>
        <w:t xml:space="preserve"> </w:t>
      </w:r>
      <w:r w:rsidR="00622761">
        <w:t xml:space="preserve">of a </w:t>
      </w:r>
      <w:r>
        <w:t xml:space="preserve">contract </w:t>
      </w:r>
      <w:r w:rsidR="00622761">
        <w:t xml:space="preserve">for the enhanced Programme of works </w:t>
      </w:r>
      <w:r>
        <w:t xml:space="preserve">provides the Council with the opportunity to do this. </w:t>
      </w:r>
      <w:r w:rsidRPr="00544862">
        <w:t xml:space="preserve">Failure to deliver the </w:t>
      </w:r>
      <w:r>
        <w:t xml:space="preserve">whole </w:t>
      </w:r>
      <w:r w:rsidRPr="00544862">
        <w:t xml:space="preserve">programme </w:t>
      </w:r>
      <w:r>
        <w:t xml:space="preserve">could </w:t>
      </w:r>
      <w:r w:rsidRPr="00544862">
        <w:t xml:space="preserve">result </w:t>
      </w:r>
      <w:r w:rsidR="00E64ADD" w:rsidRPr="00544862">
        <w:t xml:space="preserve">in </w:t>
      </w:r>
      <w:r w:rsidR="00E64ADD">
        <w:t>the</w:t>
      </w:r>
      <w:r w:rsidR="0046320F">
        <w:t xml:space="preserve"> </w:t>
      </w:r>
      <w:r w:rsidRPr="00544862">
        <w:t xml:space="preserve">deterioration of block </w:t>
      </w:r>
      <w:r w:rsidR="0046320F">
        <w:t>security and</w:t>
      </w:r>
      <w:r w:rsidR="007C133D">
        <w:t xml:space="preserve">. </w:t>
      </w:r>
    </w:p>
    <w:p w14:paraId="293845F2" w14:textId="6EE01846" w:rsidR="000415FE" w:rsidRDefault="000415FE" w:rsidP="004D68EA">
      <w:pPr>
        <w:jc w:val="both"/>
      </w:pPr>
    </w:p>
    <w:p w14:paraId="51D897D4" w14:textId="77777777" w:rsidR="00544862" w:rsidRPr="00544862" w:rsidRDefault="00544862" w:rsidP="00544862"/>
    <w:p w14:paraId="536309DC" w14:textId="3DD4D341" w:rsidR="00F6480F" w:rsidRDefault="007A4863" w:rsidP="00544862">
      <w:r>
        <w:rPr>
          <w:b/>
          <w:bCs/>
        </w:rPr>
        <w:t>2.</w:t>
      </w:r>
      <w:r w:rsidR="004110DA">
        <w:rPr>
          <w:b/>
          <w:bCs/>
        </w:rPr>
        <w:t>1.1</w:t>
      </w:r>
      <w:r>
        <w:rPr>
          <w:b/>
          <w:bCs/>
        </w:rPr>
        <w:t xml:space="preserve"> </w:t>
      </w:r>
      <w:r w:rsidR="00544862" w:rsidRPr="0070430F">
        <w:rPr>
          <w:b/>
          <w:bCs/>
        </w:rPr>
        <w:t>Conclusion:</w:t>
      </w:r>
      <w:r w:rsidR="00544862" w:rsidRPr="00544862">
        <w:t xml:space="preserve">  </w:t>
      </w:r>
      <w:r w:rsidR="00544862" w:rsidRPr="008459FF">
        <w:rPr>
          <w:i/>
          <w:iCs/>
        </w:rPr>
        <w:t>from the options considered above</w:t>
      </w:r>
      <w:r w:rsidR="00F6480F" w:rsidRPr="008459FF">
        <w:rPr>
          <w:i/>
          <w:iCs/>
        </w:rPr>
        <w:t>:</w:t>
      </w:r>
    </w:p>
    <w:p w14:paraId="0BF098D8" w14:textId="162CDD21" w:rsidR="006A3F7D" w:rsidRDefault="00544862" w:rsidP="00544862">
      <w:r w:rsidRPr="00544862">
        <w:t xml:space="preserve">Option </w:t>
      </w:r>
      <w:r w:rsidRPr="000415FE">
        <w:rPr>
          <w:b/>
          <w:bCs/>
        </w:rPr>
        <w:t>a)</w:t>
      </w:r>
      <w:r w:rsidRPr="00544862">
        <w:t xml:space="preserve"> is </w:t>
      </w:r>
      <w:r w:rsidR="00BF5D7C">
        <w:t>recommended as</w:t>
      </w:r>
      <w:r w:rsidR="006A3F7D">
        <w:t>:</w:t>
      </w:r>
    </w:p>
    <w:p w14:paraId="151884DD" w14:textId="77777777" w:rsidR="006A3F7D" w:rsidRDefault="006A3F7D" w:rsidP="000415FE">
      <w:pPr>
        <w:jc w:val="both"/>
      </w:pPr>
    </w:p>
    <w:p w14:paraId="2B0E958E" w14:textId="0C96C56C" w:rsidR="0066402E" w:rsidRDefault="0066402E" w:rsidP="000415FE">
      <w:pPr>
        <w:pStyle w:val="ListParagraph"/>
        <w:numPr>
          <w:ilvl w:val="0"/>
          <w:numId w:val="21"/>
        </w:numPr>
        <w:jc w:val="both"/>
      </w:pPr>
      <w:r>
        <w:t>T</w:t>
      </w:r>
      <w:r w:rsidR="00BF5D7C">
        <w:t xml:space="preserve">his </w:t>
      </w:r>
      <w:r w:rsidR="005911AF">
        <w:t xml:space="preserve">will </w:t>
      </w:r>
      <w:r w:rsidR="00B51AB6">
        <w:t>ensure</w:t>
      </w:r>
      <w:r w:rsidR="005911AF">
        <w:t xml:space="preserve"> we complete </w:t>
      </w:r>
      <w:r w:rsidR="001F0740">
        <w:t xml:space="preserve">the full </w:t>
      </w:r>
      <w:r w:rsidR="00E85C75">
        <w:t xml:space="preserve">Programme </w:t>
      </w:r>
      <w:r w:rsidR="001F0740">
        <w:t>of works</w:t>
      </w:r>
      <w:r w:rsidR="005911AF">
        <w:t>.</w:t>
      </w:r>
    </w:p>
    <w:p w14:paraId="297B4710" w14:textId="31EFCD53" w:rsidR="007E442D" w:rsidRDefault="007E442D" w:rsidP="000415FE">
      <w:pPr>
        <w:pStyle w:val="ListParagraph"/>
        <w:numPr>
          <w:ilvl w:val="0"/>
          <w:numId w:val="21"/>
        </w:numPr>
        <w:jc w:val="both"/>
      </w:pPr>
      <w:r>
        <w:t xml:space="preserve">Open tender will invite competitive prices, </w:t>
      </w:r>
      <w:r w:rsidR="00E85C75">
        <w:t xml:space="preserve">and </w:t>
      </w:r>
      <w:r>
        <w:t>provide a quicker route to market</w:t>
      </w:r>
    </w:p>
    <w:p w14:paraId="3BFD88CF" w14:textId="7D1AFB4C" w:rsidR="0066402E" w:rsidRDefault="0066402E" w:rsidP="000415FE">
      <w:pPr>
        <w:pStyle w:val="ListParagraph"/>
        <w:numPr>
          <w:ilvl w:val="0"/>
          <w:numId w:val="21"/>
        </w:numPr>
        <w:jc w:val="both"/>
      </w:pPr>
      <w:r>
        <w:t>T</w:t>
      </w:r>
      <w:r w:rsidR="005911AF">
        <w:t>his will m</w:t>
      </w:r>
      <w:r w:rsidR="00544862" w:rsidRPr="00544862">
        <w:t>ean</w:t>
      </w:r>
      <w:r w:rsidR="00263D6E">
        <w:t xml:space="preserve"> </w:t>
      </w:r>
      <w:r w:rsidR="005911AF">
        <w:t>more</w:t>
      </w:r>
      <w:r w:rsidR="00544862" w:rsidRPr="00544862">
        <w:t xml:space="preserve"> homes will be </w:t>
      </w:r>
      <w:r w:rsidR="00263D6E">
        <w:t xml:space="preserve">made </w:t>
      </w:r>
      <w:r w:rsidR="00544862" w:rsidRPr="00544862">
        <w:t>safer</w:t>
      </w:r>
      <w:r w:rsidR="00263D6E">
        <w:t xml:space="preserve"> </w:t>
      </w:r>
      <w:r>
        <w:t xml:space="preserve">sooner </w:t>
      </w:r>
      <w:r w:rsidR="00544862" w:rsidRPr="00544862">
        <w:t xml:space="preserve">from fire and electrical risks and </w:t>
      </w:r>
      <w:r w:rsidR="00263D6E">
        <w:t>benefit fr</w:t>
      </w:r>
      <w:r w:rsidR="00D614EC">
        <w:t>o</w:t>
      </w:r>
      <w:r w:rsidR="00263D6E">
        <w:t>m</w:t>
      </w:r>
      <w:r w:rsidR="00544862" w:rsidRPr="00544862">
        <w:t xml:space="preserve"> increased block security </w:t>
      </w:r>
      <w:r w:rsidR="00263D6E">
        <w:t>measures such as</w:t>
      </w:r>
      <w:r w:rsidR="00D0125A">
        <w:t xml:space="preserve"> the</w:t>
      </w:r>
      <w:r w:rsidR="00544862" w:rsidRPr="00544862">
        <w:t xml:space="preserve"> new video door entry </w:t>
      </w:r>
      <w:r w:rsidR="00D0125A">
        <w:t xml:space="preserve">systems </w:t>
      </w:r>
      <w:r w:rsidR="00544862" w:rsidRPr="00544862">
        <w:t>protecting homes and personal safety.</w:t>
      </w:r>
    </w:p>
    <w:p w14:paraId="7D458BE9" w14:textId="5FC30FB3" w:rsidR="00544862" w:rsidRDefault="00263D6E" w:rsidP="000415FE">
      <w:pPr>
        <w:pStyle w:val="ListParagraph"/>
        <w:numPr>
          <w:ilvl w:val="0"/>
          <w:numId w:val="21"/>
        </w:numPr>
        <w:jc w:val="both"/>
      </w:pPr>
      <w:r w:rsidRPr="004D68EA">
        <w:t xml:space="preserve">This will be achieved within </w:t>
      </w:r>
      <w:r w:rsidR="00E64ADD">
        <w:t xml:space="preserve">the next two financial years and within </w:t>
      </w:r>
      <w:r w:rsidR="00AF7831">
        <w:t xml:space="preserve">the </w:t>
      </w:r>
      <w:r w:rsidRPr="004D68EA">
        <w:t xml:space="preserve">existing </w:t>
      </w:r>
      <w:r w:rsidR="0066402E" w:rsidRPr="004D68EA">
        <w:t xml:space="preserve">3-year </w:t>
      </w:r>
      <w:r w:rsidR="00B665C9">
        <w:t xml:space="preserve">HRA </w:t>
      </w:r>
      <w:r w:rsidR="006A3F7D" w:rsidRPr="004D68EA">
        <w:t>programme</w:t>
      </w:r>
      <w:r w:rsidR="00527077">
        <w:t>d</w:t>
      </w:r>
      <w:r w:rsidR="006A3F7D" w:rsidRPr="004D68EA">
        <w:t xml:space="preserve"> budgets</w:t>
      </w:r>
      <w:r w:rsidRPr="004D68EA">
        <w:t>.</w:t>
      </w:r>
    </w:p>
    <w:p w14:paraId="4280747E" w14:textId="6CF26749" w:rsidR="005F254A" w:rsidRDefault="006B18CD" w:rsidP="000415FE">
      <w:pPr>
        <w:pStyle w:val="ListParagraph"/>
        <w:numPr>
          <w:ilvl w:val="0"/>
          <w:numId w:val="21"/>
        </w:numPr>
        <w:jc w:val="both"/>
      </w:pPr>
      <w:r>
        <w:t>It will r</w:t>
      </w:r>
      <w:r w:rsidR="005F254A">
        <w:t>educe reactive maintenance costs on these blocks.</w:t>
      </w:r>
    </w:p>
    <w:p w14:paraId="2A714F10" w14:textId="7EE6DFAA" w:rsidR="0073690A" w:rsidRPr="004D68EA" w:rsidRDefault="0073690A" w:rsidP="000415FE">
      <w:pPr>
        <w:pStyle w:val="ListParagraph"/>
        <w:numPr>
          <w:ilvl w:val="0"/>
          <w:numId w:val="21"/>
        </w:numPr>
        <w:jc w:val="both"/>
      </w:pPr>
      <w:r>
        <w:t xml:space="preserve">Give opportunity to </w:t>
      </w:r>
      <w:r w:rsidR="002E121B">
        <w:t>explore a</w:t>
      </w:r>
      <w:r w:rsidR="00A64EAC">
        <w:t xml:space="preserve"> joint procurement exercise with other departments in the council who will be carrying out similar</w:t>
      </w:r>
      <w:r w:rsidR="002E121B">
        <w:t xml:space="preserve"> compliance works </w:t>
      </w:r>
      <w:r w:rsidR="007E0A37">
        <w:t>i.e.</w:t>
      </w:r>
      <w:r w:rsidR="002E121B">
        <w:t xml:space="preserve"> Fire Door</w:t>
      </w:r>
      <w:r w:rsidR="007E0A37">
        <w:t xml:space="preserve"> installation in schools</w:t>
      </w:r>
    </w:p>
    <w:p w14:paraId="7015590F" w14:textId="77777777" w:rsidR="00544862" w:rsidRPr="00544862" w:rsidRDefault="00544862" w:rsidP="000415FE">
      <w:pPr>
        <w:jc w:val="both"/>
      </w:pPr>
    </w:p>
    <w:p w14:paraId="7F8216DA" w14:textId="259D653A" w:rsidR="00762385" w:rsidRDefault="00544862" w:rsidP="00297385">
      <w:pPr>
        <w:jc w:val="both"/>
      </w:pPr>
      <w:r w:rsidRPr="00544862">
        <w:t xml:space="preserve">A proportion of costs from the leaseholders under </w:t>
      </w:r>
      <w:r w:rsidR="000415FE">
        <w:t>s</w:t>
      </w:r>
      <w:r w:rsidRPr="00544862">
        <w:t xml:space="preserve">tatutory Section 20 </w:t>
      </w:r>
      <w:r w:rsidR="006B18CD">
        <w:t xml:space="preserve">leaseholder </w:t>
      </w:r>
      <w:r w:rsidRPr="00544862">
        <w:t xml:space="preserve">consultation will be recovered. Option a) is the recommended </w:t>
      </w:r>
      <w:r w:rsidR="000415FE">
        <w:t xml:space="preserve">and </w:t>
      </w:r>
      <w:r w:rsidRPr="00544862">
        <w:t>preferred option.</w:t>
      </w:r>
      <w:r w:rsidR="00297385">
        <w:t xml:space="preserve"> </w:t>
      </w:r>
    </w:p>
    <w:p w14:paraId="5314C433" w14:textId="77777777" w:rsidR="00762385" w:rsidRDefault="00762385" w:rsidP="00544862"/>
    <w:p w14:paraId="5D089B1E" w14:textId="4F4969BC" w:rsidR="00333FAA" w:rsidRDefault="008459FF" w:rsidP="001472A8">
      <w:pPr>
        <w:pStyle w:val="Heading2"/>
        <w:spacing w:before="240"/>
        <w:rPr>
          <w:rFonts w:ascii="Arial" w:hAnsi="Arial"/>
          <w:sz w:val="28"/>
          <w:szCs w:val="28"/>
        </w:rPr>
      </w:pPr>
      <w:r w:rsidRPr="00141D1C">
        <w:rPr>
          <w:rFonts w:ascii="Arial" w:hAnsi="Arial"/>
          <w:sz w:val="28"/>
          <w:szCs w:val="28"/>
        </w:rPr>
        <w:t>2.</w:t>
      </w:r>
      <w:r w:rsidR="004110DA" w:rsidRPr="00141D1C">
        <w:rPr>
          <w:rFonts w:ascii="Arial" w:hAnsi="Arial"/>
          <w:sz w:val="28"/>
          <w:szCs w:val="28"/>
        </w:rPr>
        <w:t>2</w:t>
      </w:r>
      <w:r w:rsidRPr="00141D1C">
        <w:rPr>
          <w:rFonts w:ascii="Arial" w:hAnsi="Arial"/>
          <w:sz w:val="28"/>
          <w:szCs w:val="28"/>
        </w:rPr>
        <w:tab/>
      </w:r>
      <w:r w:rsidR="00333FAA" w:rsidRPr="00141D1C">
        <w:rPr>
          <w:rFonts w:ascii="Arial" w:hAnsi="Arial"/>
          <w:sz w:val="28"/>
          <w:szCs w:val="28"/>
        </w:rPr>
        <w:t>Background</w:t>
      </w:r>
    </w:p>
    <w:p w14:paraId="4E6A4091" w14:textId="77777777" w:rsidR="004D68EA" w:rsidRPr="004D68EA" w:rsidRDefault="004D68EA" w:rsidP="004D68EA"/>
    <w:p w14:paraId="23608547" w14:textId="161CE778" w:rsidR="00761745" w:rsidRDefault="00761745" w:rsidP="00761745">
      <w:r w:rsidRPr="00772F1C">
        <w:t>This Homesafe</w:t>
      </w:r>
      <w:r w:rsidR="00135018" w:rsidRPr="00772F1C">
        <w:t>-</w:t>
      </w:r>
      <w:r w:rsidRPr="00772F1C">
        <w:t xml:space="preserve">3 </w:t>
      </w:r>
      <w:r w:rsidR="00124A37">
        <w:t>P</w:t>
      </w:r>
      <w:r w:rsidR="002F117B">
        <w:t xml:space="preserve">rogramme </w:t>
      </w:r>
      <w:r w:rsidRPr="00772F1C">
        <w:t xml:space="preserve">is the next </w:t>
      </w:r>
      <w:r w:rsidR="000415FE">
        <w:t xml:space="preserve">phase </w:t>
      </w:r>
      <w:r w:rsidRPr="00772F1C">
        <w:t xml:space="preserve">of Fire Safety and </w:t>
      </w:r>
      <w:r w:rsidR="00772F1C">
        <w:t>Se</w:t>
      </w:r>
      <w:r w:rsidR="00772F1C" w:rsidRPr="00772F1C">
        <w:t>cu</w:t>
      </w:r>
      <w:r w:rsidR="00772F1C">
        <w:t>ri</w:t>
      </w:r>
      <w:r w:rsidR="00772F1C" w:rsidRPr="00772F1C">
        <w:t>ty</w:t>
      </w:r>
      <w:r w:rsidRPr="00772F1C">
        <w:t xml:space="preserve"> works following </w:t>
      </w:r>
      <w:r w:rsidR="00772F1C">
        <w:t>on from Homesafe-1 and H</w:t>
      </w:r>
      <w:r w:rsidR="002F117B">
        <w:t>omesafe</w:t>
      </w:r>
      <w:r w:rsidR="00772F1C">
        <w:t>-2.</w:t>
      </w:r>
    </w:p>
    <w:p w14:paraId="48E5C185" w14:textId="77777777" w:rsidR="00761745" w:rsidRDefault="00761745" w:rsidP="00761745"/>
    <w:p w14:paraId="087F4976" w14:textId="612C0E08" w:rsidR="00C94632" w:rsidRDefault="00B673E8" w:rsidP="004D68EA">
      <w:pPr>
        <w:jc w:val="both"/>
      </w:pPr>
      <w:r>
        <w:t>Homesafe-3</w:t>
      </w:r>
      <w:r w:rsidR="00761745">
        <w:t xml:space="preserve"> </w:t>
      </w:r>
      <w:r w:rsidR="00627E87">
        <w:t xml:space="preserve">is to </w:t>
      </w:r>
      <w:r w:rsidR="00761745">
        <w:t>be</w:t>
      </w:r>
      <w:r w:rsidR="00761745" w:rsidRPr="001566B4">
        <w:t xml:space="preserve"> </w:t>
      </w:r>
      <w:r w:rsidR="00761745">
        <w:t>funded</w:t>
      </w:r>
      <w:r w:rsidR="00761745" w:rsidRPr="001566B4">
        <w:t xml:space="preserve"> </w:t>
      </w:r>
      <w:r w:rsidR="00761745">
        <w:t>within the</w:t>
      </w:r>
      <w:r w:rsidR="00761745" w:rsidRPr="001566B4">
        <w:t xml:space="preserve"> </w:t>
      </w:r>
      <w:r w:rsidR="00772F1C">
        <w:t xml:space="preserve">HRA </w:t>
      </w:r>
      <w:r w:rsidR="00761745" w:rsidRPr="001566B4">
        <w:t>Housing Capital Programme</w:t>
      </w:r>
      <w:r w:rsidR="00761745">
        <w:t xml:space="preserve"> </w:t>
      </w:r>
      <w:r w:rsidR="00C94632">
        <w:t xml:space="preserve">for </w:t>
      </w:r>
      <w:r>
        <w:t xml:space="preserve">years </w:t>
      </w:r>
      <w:r w:rsidR="00761745">
        <w:t xml:space="preserve">2021/22 </w:t>
      </w:r>
      <w:r w:rsidR="00761745" w:rsidRPr="00135018">
        <w:t xml:space="preserve">and </w:t>
      </w:r>
      <w:r w:rsidR="00263D6E" w:rsidRPr="00135018">
        <w:t>202</w:t>
      </w:r>
      <w:r w:rsidR="00263D6E" w:rsidRPr="00C13238">
        <w:t>2</w:t>
      </w:r>
      <w:r w:rsidR="00761745" w:rsidRPr="00135018">
        <w:t>/23.</w:t>
      </w:r>
      <w:r w:rsidR="00761745">
        <w:t xml:space="preserve"> </w:t>
      </w:r>
      <w:r w:rsidR="00761745" w:rsidRPr="001566B4">
        <w:t>The</w:t>
      </w:r>
      <w:r w:rsidR="00761745">
        <w:t>se</w:t>
      </w:r>
      <w:r w:rsidR="00761745" w:rsidRPr="001566B4">
        <w:t xml:space="preserve"> works are essential </w:t>
      </w:r>
      <w:r w:rsidR="00761745">
        <w:t xml:space="preserve">to </w:t>
      </w:r>
      <w:r w:rsidR="00761745" w:rsidRPr="001566B4">
        <w:t xml:space="preserve">increase block </w:t>
      </w:r>
      <w:r w:rsidR="00DF692A" w:rsidRPr="001566B4">
        <w:lastRenderedPageBreak/>
        <w:t>security and</w:t>
      </w:r>
      <w:r w:rsidR="00E52B83">
        <w:t xml:space="preserve"> </w:t>
      </w:r>
      <w:r w:rsidR="00761745" w:rsidRPr="001566B4">
        <w:t xml:space="preserve">improve fire safety and </w:t>
      </w:r>
      <w:r w:rsidR="00E64ADD">
        <w:t>compliance and</w:t>
      </w:r>
      <w:r w:rsidR="00DF692A">
        <w:t xml:space="preserve"> </w:t>
      </w:r>
      <w:r w:rsidR="00772F1C">
        <w:t>will contribute to</w:t>
      </w:r>
      <w:r w:rsidR="00761745" w:rsidRPr="001566B4">
        <w:t xml:space="preserve"> </w:t>
      </w:r>
      <w:r w:rsidR="00C94632">
        <w:t xml:space="preserve">the </w:t>
      </w:r>
      <w:r w:rsidR="00761745">
        <w:t xml:space="preserve">housing </w:t>
      </w:r>
      <w:r w:rsidR="00761745" w:rsidRPr="001566B4">
        <w:t>stock maintenance</w:t>
      </w:r>
      <w:r w:rsidR="009F4A15">
        <w:t xml:space="preserve"> </w:t>
      </w:r>
      <w:r>
        <w:t>of</w:t>
      </w:r>
      <w:r w:rsidR="009F4A15">
        <w:t xml:space="preserve"> 6</w:t>
      </w:r>
      <w:r w:rsidR="00081F19">
        <w:t>5</w:t>
      </w:r>
      <w:r w:rsidR="009F4A15">
        <w:t xml:space="preserve"> blocks</w:t>
      </w:r>
      <w:r w:rsidR="00761745" w:rsidRPr="001566B4">
        <w:t>.</w:t>
      </w:r>
    </w:p>
    <w:p w14:paraId="1317B18F" w14:textId="77777777" w:rsidR="00C94632" w:rsidRDefault="00C94632" w:rsidP="004D68EA">
      <w:pPr>
        <w:jc w:val="both"/>
      </w:pPr>
    </w:p>
    <w:p w14:paraId="0D62252B" w14:textId="112FC874" w:rsidR="00AE2D6D" w:rsidRDefault="00B673E8" w:rsidP="004D68EA">
      <w:pPr>
        <w:jc w:val="both"/>
      </w:pPr>
      <w:r>
        <w:t xml:space="preserve">This </w:t>
      </w:r>
      <w:r w:rsidR="00550B37">
        <w:t>P</w:t>
      </w:r>
      <w:r>
        <w:t>rogramme</w:t>
      </w:r>
      <w:r w:rsidR="006A3F7D">
        <w:t xml:space="preserve"> will</w:t>
      </w:r>
      <w:r w:rsidR="00761745" w:rsidRPr="001566B4">
        <w:t xml:space="preserve"> </w:t>
      </w:r>
      <w:r w:rsidR="000D26E4">
        <w:t xml:space="preserve">deliver </w:t>
      </w:r>
      <w:r w:rsidR="006A3F7D">
        <w:t xml:space="preserve">the </w:t>
      </w:r>
      <w:r w:rsidR="000D26E4">
        <w:t>installation of</w:t>
      </w:r>
      <w:r w:rsidR="00AE2D6D">
        <w:t>:</w:t>
      </w:r>
    </w:p>
    <w:p w14:paraId="5E6C8604" w14:textId="77777777" w:rsidR="00AE2D6D" w:rsidRDefault="00AE2D6D" w:rsidP="004D68EA">
      <w:pPr>
        <w:jc w:val="both"/>
      </w:pPr>
    </w:p>
    <w:p w14:paraId="4562B9B7" w14:textId="7F58274B" w:rsidR="001A4F7C" w:rsidRDefault="001A4F7C" w:rsidP="001A4F7C">
      <w:pPr>
        <w:pStyle w:val="ListParagraph"/>
        <w:numPr>
          <w:ilvl w:val="0"/>
          <w:numId w:val="23"/>
        </w:numPr>
        <w:jc w:val="both"/>
      </w:pPr>
      <w:r>
        <w:t xml:space="preserve">Replacement of all flat front doors and stores with certified FD30S </w:t>
      </w:r>
      <w:r w:rsidRPr="001566B4">
        <w:t>fire rated door</w:t>
      </w:r>
      <w:r w:rsidR="00F3062A">
        <w:t xml:space="preserve"> </w:t>
      </w:r>
      <w:r w:rsidRPr="001566B4">
        <w:t>s</w:t>
      </w:r>
      <w:r>
        <w:t>ets</w:t>
      </w:r>
      <w:r w:rsidRPr="001566B4">
        <w:t xml:space="preserve"> </w:t>
      </w:r>
      <w:r>
        <w:t>within the means of escape to all blocks</w:t>
      </w:r>
    </w:p>
    <w:p w14:paraId="1C12BC4B" w14:textId="04809ACA" w:rsidR="00AE2D6D" w:rsidRDefault="002F117B" w:rsidP="00AE2D6D">
      <w:pPr>
        <w:pStyle w:val="ListParagraph"/>
        <w:numPr>
          <w:ilvl w:val="0"/>
          <w:numId w:val="23"/>
        </w:numPr>
        <w:jc w:val="both"/>
      </w:pPr>
      <w:r>
        <w:t>L</w:t>
      </w:r>
      <w:r w:rsidR="00C94632">
        <w:t xml:space="preserve">andlord’s </w:t>
      </w:r>
      <w:r w:rsidR="000D26E4">
        <w:t>emergency light</w:t>
      </w:r>
      <w:r w:rsidR="00AE2D6D">
        <w:t>ing</w:t>
      </w:r>
      <w:r w:rsidR="00B673E8">
        <w:t xml:space="preserve"> systems</w:t>
      </w:r>
    </w:p>
    <w:p w14:paraId="246C71D6" w14:textId="310E1677" w:rsidR="00AE2D6D" w:rsidRDefault="002F117B" w:rsidP="00AE2D6D">
      <w:pPr>
        <w:pStyle w:val="ListParagraph"/>
        <w:numPr>
          <w:ilvl w:val="0"/>
          <w:numId w:val="23"/>
        </w:numPr>
        <w:jc w:val="both"/>
      </w:pPr>
      <w:r>
        <w:t>C</w:t>
      </w:r>
      <w:r w:rsidR="00B673E8">
        <w:t>ommunal</w:t>
      </w:r>
      <w:r w:rsidR="00772F1C">
        <w:t xml:space="preserve"> lighting</w:t>
      </w:r>
      <w:r w:rsidR="00B673E8">
        <w:t>,</w:t>
      </w:r>
      <w:r w:rsidR="00772F1C">
        <w:t xml:space="preserve"> </w:t>
      </w:r>
      <w:r w:rsidR="000D26E4">
        <w:t>and rewirin</w:t>
      </w:r>
      <w:r w:rsidR="001840CC">
        <w:t>g</w:t>
      </w:r>
    </w:p>
    <w:p w14:paraId="1BC02B20" w14:textId="3C715B58" w:rsidR="00AE2D6D" w:rsidRDefault="002F117B" w:rsidP="00AE2D6D">
      <w:pPr>
        <w:pStyle w:val="ListParagraph"/>
        <w:numPr>
          <w:ilvl w:val="0"/>
          <w:numId w:val="23"/>
        </w:numPr>
        <w:jc w:val="both"/>
      </w:pPr>
      <w:r>
        <w:t>R</w:t>
      </w:r>
      <w:r w:rsidR="00761745" w:rsidRPr="001566B4">
        <w:t xml:space="preserve">eplacement </w:t>
      </w:r>
      <w:r w:rsidR="00AC733C">
        <w:t>of obsolete</w:t>
      </w:r>
      <w:r w:rsidR="00931767">
        <w:t xml:space="preserve">/broken </w:t>
      </w:r>
      <w:r w:rsidR="00627E87">
        <w:t>front</w:t>
      </w:r>
      <w:r w:rsidR="000D26E4">
        <w:t>/</w:t>
      </w:r>
      <w:r w:rsidR="00627E87">
        <w:t>rear</w:t>
      </w:r>
      <w:r w:rsidR="000D26E4">
        <w:t xml:space="preserve"> entrance</w:t>
      </w:r>
      <w:r w:rsidR="00627E87">
        <w:t xml:space="preserve"> </w:t>
      </w:r>
      <w:r w:rsidR="000D26E4">
        <w:t xml:space="preserve">doors/screens </w:t>
      </w:r>
      <w:r w:rsidR="00761745" w:rsidRPr="001566B4">
        <w:t>or gated entry as appropriate</w:t>
      </w:r>
      <w:r w:rsidR="000D26E4">
        <w:t xml:space="preserve"> where required</w:t>
      </w:r>
    </w:p>
    <w:p w14:paraId="0E2A6254" w14:textId="35410910" w:rsidR="00AE2D6D" w:rsidRDefault="002F117B" w:rsidP="00AE2D6D">
      <w:pPr>
        <w:pStyle w:val="ListParagraph"/>
        <w:numPr>
          <w:ilvl w:val="0"/>
          <w:numId w:val="23"/>
        </w:numPr>
        <w:jc w:val="both"/>
      </w:pPr>
      <w:r>
        <w:t>U</w:t>
      </w:r>
      <w:r w:rsidR="00761745" w:rsidRPr="001566B4">
        <w:t>p</w:t>
      </w:r>
      <w:r w:rsidR="000D26E4">
        <w:t xml:space="preserve">grade obsolete </w:t>
      </w:r>
      <w:r w:rsidR="00761745" w:rsidRPr="001566B4">
        <w:t xml:space="preserve">door entry </w:t>
      </w:r>
      <w:r w:rsidR="00B673E8">
        <w:t>intercom systems</w:t>
      </w:r>
      <w:r w:rsidR="00761745" w:rsidRPr="001566B4">
        <w:t xml:space="preserve"> </w:t>
      </w:r>
      <w:r w:rsidR="000D26E4">
        <w:t>wit</w:t>
      </w:r>
      <w:r w:rsidR="009F4A15">
        <w:t>h video door entry</w:t>
      </w:r>
    </w:p>
    <w:p w14:paraId="384D0EB8" w14:textId="717325BE" w:rsidR="00AE2D6D" w:rsidRDefault="002F117B" w:rsidP="00AE2D6D">
      <w:pPr>
        <w:pStyle w:val="ListParagraph"/>
        <w:numPr>
          <w:ilvl w:val="0"/>
          <w:numId w:val="23"/>
        </w:numPr>
        <w:jc w:val="both"/>
      </w:pPr>
      <w:r>
        <w:t>I</w:t>
      </w:r>
      <w:r w:rsidR="00761745">
        <w:t>nstall</w:t>
      </w:r>
      <w:r w:rsidR="00C94632">
        <w:t>ation of</w:t>
      </w:r>
      <w:r w:rsidR="00761745">
        <w:t xml:space="preserve"> </w:t>
      </w:r>
      <w:r w:rsidR="006A3F7D">
        <w:t>c</w:t>
      </w:r>
      <w:r w:rsidR="00761745">
        <w:t xml:space="preserve">loud based self-reporting </w:t>
      </w:r>
      <w:r w:rsidR="00C94632">
        <w:t xml:space="preserve">smart </w:t>
      </w:r>
      <w:r w:rsidR="00761745">
        <w:t xml:space="preserve">LD2 fire and CO alarm </w:t>
      </w:r>
      <w:r w:rsidR="000D26E4">
        <w:t xml:space="preserve">detection </w:t>
      </w:r>
      <w:r w:rsidR="00761745">
        <w:t>systems to all flats</w:t>
      </w:r>
      <w:r w:rsidR="00B673E8">
        <w:t xml:space="preserve">, regardless of tenure. </w:t>
      </w:r>
    </w:p>
    <w:p w14:paraId="0169B41F" w14:textId="77777777" w:rsidR="00AE2D6D" w:rsidRDefault="00AE2D6D" w:rsidP="00474534">
      <w:pPr>
        <w:ind w:left="67"/>
        <w:jc w:val="both"/>
      </w:pPr>
    </w:p>
    <w:p w14:paraId="313DE528" w14:textId="69DD8240" w:rsidR="00761745" w:rsidRDefault="00B673E8" w:rsidP="000301FE">
      <w:pPr>
        <w:jc w:val="both"/>
      </w:pPr>
      <w:r>
        <w:t>This</w:t>
      </w:r>
      <w:r w:rsidR="00761745">
        <w:t xml:space="preserve"> </w:t>
      </w:r>
      <w:r w:rsidR="00550B37">
        <w:t>P</w:t>
      </w:r>
      <w:r w:rsidR="00761745">
        <w:t xml:space="preserve">rogramme </w:t>
      </w:r>
      <w:r>
        <w:t xml:space="preserve">will be delivered to 65 blocks </w:t>
      </w:r>
      <w:r w:rsidR="00772F1C">
        <w:t xml:space="preserve">spread </w:t>
      </w:r>
      <w:r w:rsidR="00761745" w:rsidRPr="001566B4">
        <w:t>across the</w:t>
      </w:r>
      <w:r w:rsidR="00550B37">
        <w:t xml:space="preserve"> borough</w:t>
      </w:r>
      <w:r w:rsidR="006A3F7D">
        <w:t>.</w:t>
      </w:r>
    </w:p>
    <w:p w14:paraId="2E8D0134" w14:textId="77777777" w:rsidR="00761745" w:rsidRDefault="00761745" w:rsidP="00761745">
      <w:pPr>
        <w:ind w:left="720" w:hanging="720"/>
        <w:jc w:val="both"/>
      </w:pPr>
    </w:p>
    <w:p w14:paraId="2E33A591" w14:textId="0562FCD3" w:rsidR="00333FAA" w:rsidRDefault="00F72FCA" w:rsidP="00910326">
      <w:pPr>
        <w:jc w:val="both"/>
      </w:pPr>
      <w:r w:rsidRPr="001566B4">
        <w:t xml:space="preserve">The result </w:t>
      </w:r>
      <w:r>
        <w:t>will be</w:t>
      </w:r>
      <w:r w:rsidRPr="001566B4">
        <w:t xml:space="preserve"> improved security through 24-hour block access control with camera visitor entry display, improved entr</w:t>
      </w:r>
      <w:r>
        <w:t xml:space="preserve">ance door/screens and level access </w:t>
      </w:r>
      <w:r w:rsidRPr="001566B4">
        <w:t xml:space="preserve">approach for </w:t>
      </w:r>
      <w:r>
        <w:t>residents and visitors with disabilities or prams etc to meet the requirements of the Equality Act 2010. The i</w:t>
      </w:r>
      <w:r w:rsidRPr="001566B4">
        <w:t>nstallation of</w:t>
      </w:r>
      <w:r>
        <w:t xml:space="preserve"> communal areas </w:t>
      </w:r>
      <w:r w:rsidRPr="001566B4">
        <w:t>e</w:t>
      </w:r>
      <w:r>
        <w:t>mergency lighting and re-wiring, system alarm detection in flats together with</w:t>
      </w:r>
      <w:r w:rsidRPr="001566B4">
        <w:t xml:space="preserve"> service duct </w:t>
      </w:r>
      <w:r>
        <w:t xml:space="preserve">fire </w:t>
      </w:r>
      <w:r w:rsidRPr="001566B4">
        <w:t xml:space="preserve">compartmentalisation </w:t>
      </w:r>
      <w:r>
        <w:t xml:space="preserve">to common parts circulation and roof voids </w:t>
      </w:r>
      <w:r w:rsidRPr="001566B4">
        <w:t xml:space="preserve">where required </w:t>
      </w:r>
      <w:r>
        <w:t>together with</w:t>
      </w:r>
      <w:r w:rsidRPr="001566B4">
        <w:t xml:space="preserve"> </w:t>
      </w:r>
      <w:r>
        <w:t>associated works  will serve to decrease the fire loading of these blocks through improved passive fire protection improving survival rates in the event of a fire</w:t>
      </w:r>
    </w:p>
    <w:p w14:paraId="6383CD41" w14:textId="52661D6A" w:rsidR="00F72FCA" w:rsidRDefault="00F72FCA" w:rsidP="00333FAA"/>
    <w:p w14:paraId="32834D71" w14:textId="77777777" w:rsidR="00F72FCA" w:rsidRPr="009A700B" w:rsidRDefault="00F72FCA" w:rsidP="00333FAA">
      <w:pPr>
        <w:rPr>
          <w:rFonts w:cs="Arial"/>
          <w:sz w:val="28"/>
          <w:szCs w:val="28"/>
        </w:rPr>
      </w:pPr>
    </w:p>
    <w:p w14:paraId="0E637316" w14:textId="19ADE4AB" w:rsidR="00333FAA" w:rsidRDefault="008459FF" w:rsidP="00333FAA">
      <w:pPr>
        <w:pStyle w:val="Heading2"/>
        <w:rPr>
          <w:rFonts w:ascii="Arial" w:hAnsi="Arial"/>
          <w:sz w:val="28"/>
          <w:szCs w:val="28"/>
        </w:rPr>
      </w:pPr>
      <w:r w:rsidRPr="00D66BEC">
        <w:rPr>
          <w:rFonts w:ascii="Arial" w:hAnsi="Arial"/>
          <w:sz w:val="28"/>
          <w:szCs w:val="28"/>
        </w:rPr>
        <w:t>2.</w:t>
      </w:r>
      <w:r w:rsidR="0085572D" w:rsidRPr="00D66BEC">
        <w:rPr>
          <w:rFonts w:ascii="Arial" w:hAnsi="Arial"/>
          <w:sz w:val="28"/>
          <w:szCs w:val="28"/>
        </w:rPr>
        <w:t>2.1</w:t>
      </w:r>
      <w:r w:rsidR="006D6B03" w:rsidRPr="00D66BEC">
        <w:rPr>
          <w:rFonts w:ascii="Arial" w:hAnsi="Arial"/>
          <w:sz w:val="28"/>
          <w:szCs w:val="28"/>
        </w:rPr>
        <w:tab/>
      </w:r>
      <w:r w:rsidR="00333FAA" w:rsidRPr="00D66BEC">
        <w:rPr>
          <w:rFonts w:ascii="Arial" w:hAnsi="Arial"/>
          <w:sz w:val="28"/>
          <w:szCs w:val="28"/>
        </w:rPr>
        <w:t xml:space="preserve">Current </w:t>
      </w:r>
      <w:r w:rsidR="00C10090">
        <w:rPr>
          <w:rFonts w:ascii="Arial" w:hAnsi="Arial"/>
          <w:sz w:val="28"/>
          <w:szCs w:val="28"/>
        </w:rPr>
        <w:t>S</w:t>
      </w:r>
      <w:r w:rsidR="00333FAA" w:rsidRPr="00D66BEC">
        <w:rPr>
          <w:rFonts w:ascii="Arial" w:hAnsi="Arial"/>
          <w:sz w:val="28"/>
          <w:szCs w:val="28"/>
        </w:rPr>
        <w:t>ituation</w:t>
      </w:r>
    </w:p>
    <w:p w14:paraId="599E56EB" w14:textId="77777777" w:rsidR="001E265A" w:rsidRDefault="001E265A" w:rsidP="001708AA">
      <w:pPr>
        <w:rPr>
          <w:color w:val="000000"/>
        </w:rPr>
      </w:pPr>
    </w:p>
    <w:p w14:paraId="6E1DE83D" w14:textId="34968766" w:rsidR="001708AA" w:rsidRDefault="00416843" w:rsidP="004D68EA">
      <w:pPr>
        <w:jc w:val="both"/>
        <w:rPr>
          <w:color w:val="000000"/>
        </w:rPr>
      </w:pPr>
      <w:r w:rsidRPr="004D68EA">
        <w:rPr>
          <w:color w:val="000000"/>
        </w:rPr>
        <w:t xml:space="preserve">Additional </w:t>
      </w:r>
      <w:r w:rsidR="00F402C9">
        <w:rPr>
          <w:color w:val="000000"/>
        </w:rPr>
        <w:t xml:space="preserve">budget </w:t>
      </w:r>
      <w:r w:rsidR="001F0740">
        <w:rPr>
          <w:color w:val="000000"/>
        </w:rPr>
        <w:t>approval</w:t>
      </w:r>
      <w:r w:rsidR="001708AA" w:rsidRPr="004D68EA">
        <w:rPr>
          <w:color w:val="000000"/>
        </w:rPr>
        <w:t xml:space="preserve"> </w:t>
      </w:r>
      <w:r w:rsidR="00F23376" w:rsidRPr="004D68EA">
        <w:rPr>
          <w:color w:val="000000"/>
        </w:rPr>
        <w:t xml:space="preserve">of £1.6m </w:t>
      </w:r>
      <w:r w:rsidR="001708AA" w:rsidRPr="004D68EA">
        <w:rPr>
          <w:color w:val="000000"/>
        </w:rPr>
        <w:t xml:space="preserve">will </w:t>
      </w:r>
      <w:r w:rsidR="00E9495C" w:rsidRPr="004D68EA">
        <w:rPr>
          <w:color w:val="000000"/>
        </w:rPr>
        <w:t xml:space="preserve">be </w:t>
      </w:r>
      <w:r w:rsidR="00E64ADD">
        <w:rPr>
          <w:color w:val="000000"/>
        </w:rPr>
        <w:t xml:space="preserve">required </w:t>
      </w:r>
      <w:r w:rsidR="00E64ADD" w:rsidRPr="004D68EA">
        <w:rPr>
          <w:color w:val="000000"/>
        </w:rPr>
        <w:t>above</w:t>
      </w:r>
      <w:r w:rsidR="002174BA">
        <w:rPr>
          <w:color w:val="000000"/>
        </w:rPr>
        <w:t xml:space="preserve"> the already approved</w:t>
      </w:r>
      <w:r w:rsidR="001E265A" w:rsidRPr="004D68EA">
        <w:rPr>
          <w:color w:val="000000"/>
        </w:rPr>
        <w:t xml:space="preserve"> £2.4m </w:t>
      </w:r>
      <w:r w:rsidR="00874FC3" w:rsidRPr="004D68EA">
        <w:rPr>
          <w:color w:val="000000"/>
        </w:rPr>
        <w:t>to incorporate</w:t>
      </w:r>
      <w:r w:rsidR="001E265A" w:rsidRPr="004D68EA">
        <w:rPr>
          <w:color w:val="000000"/>
        </w:rPr>
        <w:t xml:space="preserve"> </w:t>
      </w:r>
      <w:r w:rsidR="00756A93" w:rsidRPr="004D68EA">
        <w:rPr>
          <w:color w:val="000000"/>
        </w:rPr>
        <w:t xml:space="preserve">all </w:t>
      </w:r>
      <w:r w:rsidR="00E9495C" w:rsidRPr="004D68EA">
        <w:rPr>
          <w:color w:val="000000"/>
        </w:rPr>
        <w:t xml:space="preserve">the </w:t>
      </w:r>
      <w:r w:rsidR="00756A93" w:rsidRPr="004D68EA">
        <w:rPr>
          <w:color w:val="000000"/>
        </w:rPr>
        <w:t xml:space="preserve">blocks </w:t>
      </w:r>
      <w:r w:rsidR="00234491">
        <w:rPr>
          <w:color w:val="000000"/>
        </w:rPr>
        <w:t xml:space="preserve">tendered </w:t>
      </w:r>
      <w:r w:rsidR="0042252B" w:rsidRPr="004D68EA">
        <w:rPr>
          <w:color w:val="000000"/>
        </w:rPr>
        <w:t>together with the</w:t>
      </w:r>
      <w:r w:rsidR="00EB31BE" w:rsidRPr="004D68EA">
        <w:rPr>
          <w:color w:val="000000"/>
        </w:rPr>
        <w:t xml:space="preserve"> </w:t>
      </w:r>
      <w:r w:rsidR="00EE7321" w:rsidRPr="004D68EA">
        <w:rPr>
          <w:color w:val="000000"/>
        </w:rPr>
        <w:t>associated</w:t>
      </w:r>
      <w:r w:rsidR="0042252B" w:rsidRPr="004D68EA">
        <w:rPr>
          <w:color w:val="000000"/>
        </w:rPr>
        <w:t xml:space="preserve"> </w:t>
      </w:r>
      <w:r w:rsidR="00234491">
        <w:rPr>
          <w:color w:val="000000"/>
        </w:rPr>
        <w:t xml:space="preserve">preparation </w:t>
      </w:r>
      <w:r w:rsidR="0042252B" w:rsidRPr="004D68EA">
        <w:rPr>
          <w:color w:val="000000"/>
        </w:rPr>
        <w:t>works</w:t>
      </w:r>
      <w:r w:rsidR="00234491">
        <w:rPr>
          <w:color w:val="000000"/>
        </w:rPr>
        <w:t xml:space="preserve"> and surveys</w:t>
      </w:r>
      <w:r w:rsidR="00E9495C" w:rsidRPr="004D68EA">
        <w:rPr>
          <w:color w:val="000000"/>
        </w:rPr>
        <w:t xml:space="preserve">, </w:t>
      </w:r>
      <w:r w:rsidR="00EB31BE" w:rsidRPr="004D68EA">
        <w:rPr>
          <w:color w:val="000000"/>
        </w:rPr>
        <w:t>consultant input</w:t>
      </w:r>
      <w:r w:rsidR="0042252B" w:rsidRPr="004D68EA">
        <w:rPr>
          <w:color w:val="000000"/>
        </w:rPr>
        <w:t xml:space="preserve">, </w:t>
      </w:r>
      <w:r w:rsidR="00E9495C" w:rsidRPr="004D68EA">
        <w:rPr>
          <w:color w:val="000000"/>
        </w:rPr>
        <w:t xml:space="preserve">and </w:t>
      </w:r>
      <w:r w:rsidR="00EB31BE" w:rsidRPr="004D68EA">
        <w:rPr>
          <w:color w:val="000000"/>
        </w:rPr>
        <w:t>staff</w:t>
      </w:r>
      <w:r w:rsidR="00E9495C" w:rsidRPr="004D68EA">
        <w:rPr>
          <w:color w:val="000000"/>
        </w:rPr>
        <w:t>ing</w:t>
      </w:r>
      <w:r w:rsidR="00EB31BE" w:rsidRPr="004D68EA">
        <w:rPr>
          <w:color w:val="000000"/>
        </w:rPr>
        <w:t xml:space="preserve"> costs</w:t>
      </w:r>
      <w:r w:rsidR="008A2869">
        <w:rPr>
          <w:color w:val="000000"/>
        </w:rPr>
        <w:t>.</w:t>
      </w:r>
      <w:r w:rsidR="001708AA" w:rsidRPr="004D68EA">
        <w:t xml:space="preserve">  This project includes 4</w:t>
      </w:r>
      <w:r w:rsidR="009852B2" w:rsidRPr="004D68EA">
        <w:t>34</w:t>
      </w:r>
      <w:r w:rsidR="001708AA" w:rsidRPr="004D68EA">
        <w:t xml:space="preserve"> flats contained </w:t>
      </w:r>
      <w:r w:rsidR="00E9495C" w:rsidRPr="004D68EA">
        <w:t>with</w:t>
      </w:r>
      <w:r w:rsidR="001708AA" w:rsidRPr="004D68EA">
        <w:t>in 6</w:t>
      </w:r>
      <w:r w:rsidR="009852B2" w:rsidRPr="004D68EA">
        <w:t>5</w:t>
      </w:r>
      <w:r w:rsidR="001708AA" w:rsidRPr="004D68EA">
        <w:t xml:space="preserve"> blocks, </w:t>
      </w:r>
      <w:r w:rsidR="001708AA" w:rsidRPr="004D68EA">
        <w:rPr>
          <w:color w:val="000000"/>
        </w:rPr>
        <w:t xml:space="preserve">the contract duration is 66-weeks and is expected to </w:t>
      </w:r>
      <w:r w:rsidR="00756A93" w:rsidRPr="004D68EA">
        <w:rPr>
          <w:color w:val="000000"/>
        </w:rPr>
        <w:t xml:space="preserve">run over 2 fiscal years and </w:t>
      </w:r>
      <w:r w:rsidR="001708AA" w:rsidRPr="004D68EA">
        <w:rPr>
          <w:color w:val="000000"/>
        </w:rPr>
        <w:t>be completed</w:t>
      </w:r>
      <w:r w:rsidR="00385CD8">
        <w:rPr>
          <w:color w:val="000000"/>
        </w:rPr>
        <w:t xml:space="preserve"> early</w:t>
      </w:r>
      <w:r w:rsidR="001708AA" w:rsidRPr="004D68EA">
        <w:rPr>
          <w:color w:val="000000"/>
        </w:rPr>
        <w:t xml:space="preserve"> 2023.</w:t>
      </w:r>
    </w:p>
    <w:p w14:paraId="2D31714B" w14:textId="5CD414F3" w:rsidR="00655310" w:rsidRDefault="00655310" w:rsidP="004D68EA">
      <w:pPr>
        <w:jc w:val="both"/>
        <w:rPr>
          <w:color w:val="000000"/>
        </w:rPr>
      </w:pPr>
    </w:p>
    <w:p w14:paraId="1842CA71" w14:textId="77777777" w:rsidR="00333FAA" w:rsidRPr="00D66BEC" w:rsidRDefault="00333FAA" w:rsidP="00333FAA">
      <w:pPr>
        <w:rPr>
          <w:rFonts w:cs="Arial"/>
          <w:sz w:val="28"/>
          <w:szCs w:val="28"/>
        </w:rPr>
      </w:pPr>
    </w:p>
    <w:p w14:paraId="555D1469" w14:textId="050192EA" w:rsidR="00333FAA" w:rsidRDefault="006D6B03" w:rsidP="00333FAA">
      <w:pPr>
        <w:pStyle w:val="Heading2"/>
        <w:rPr>
          <w:rFonts w:ascii="Arial" w:hAnsi="Arial"/>
          <w:sz w:val="28"/>
          <w:szCs w:val="28"/>
        </w:rPr>
      </w:pPr>
      <w:r w:rsidRPr="00D66BEC">
        <w:rPr>
          <w:rFonts w:ascii="Arial" w:hAnsi="Arial"/>
          <w:sz w:val="28"/>
          <w:szCs w:val="28"/>
        </w:rPr>
        <w:t>2.</w:t>
      </w:r>
      <w:r w:rsidR="0085572D" w:rsidRPr="00D66BEC">
        <w:rPr>
          <w:rFonts w:ascii="Arial" w:hAnsi="Arial"/>
          <w:sz w:val="28"/>
          <w:szCs w:val="28"/>
        </w:rPr>
        <w:t>2.</w:t>
      </w:r>
      <w:r w:rsidR="00DA639B" w:rsidRPr="00D66BEC">
        <w:rPr>
          <w:rFonts w:ascii="Arial" w:hAnsi="Arial"/>
          <w:sz w:val="28"/>
          <w:szCs w:val="28"/>
        </w:rPr>
        <w:t>2</w:t>
      </w:r>
      <w:r w:rsidRPr="00D66BEC">
        <w:rPr>
          <w:rFonts w:ascii="Arial" w:hAnsi="Arial"/>
          <w:sz w:val="28"/>
          <w:szCs w:val="28"/>
        </w:rPr>
        <w:tab/>
      </w:r>
      <w:r w:rsidR="00333FAA" w:rsidRPr="00D66BEC">
        <w:rPr>
          <w:rFonts w:ascii="Arial" w:hAnsi="Arial"/>
          <w:sz w:val="28"/>
          <w:szCs w:val="28"/>
        </w:rPr>
        <w:t xml:space="preserve">Why a </w:t>
      </w:r>
      <w:r w:rsidR="00D436AD">
        <w:rPr>
          <w:rFonts w:ascii="Arial" w:hAnsi="Arial"/>
          <w:sz w:val="28"/>
          <w:szCs w:val="28"/>
        </w:rPr>
        <w:t>C</w:t>
      </w:r>
      <w:r w:rsidR="00333FAA" w:rsidRPr="00D66BEC">
        <w:rPr>
          <w:rFonts w:ascii="Arial" w:hAnsi="Arial"/>
          <w:sz w:val="28"/>
          <w:szCs w:val="28"/>
        </w:rPr>
        <w:t xml:space="preserve">hange is </w:t>
      </w:r>
      <w:r w:rsidR="00D436AD">
        <w:rPr>
          <w:rFonts w:ascii="Arial" w:hAnsi="Arial"/>
          <w:sz w:val="28"/>
          <w:szCs w:val="28"/>
        </w:rPr>
        <w:t>N</w:t>
      </w:r>
      <w:r w:rsidR="00333FAA" w:rsidRPr="00D66BEC">
        <w:rPr>
          <w:rFonts w:ascii="Arial" w:hAnsi="Arial"/>
          <w:sz w:val="28"/>
          <w:szCs w:val="28"/>
        </w:rPr>
        <w:t>eeded</w:t>
      </w:r>
    </w:p>
    <w:p w14:paraId="286DDC6C" w14:textId="77777777" w:rsidR="004D68EA" w:rsidRPr="004D68EA" w:rsidRDefault="004D68EA" w:rsidP="004D68EA"/>
    <w:p w14:paraId="59A99726" w14:textId="393D06FE" w:rsidR="00762385" w:rsidRDefault="00A06B32" w:rsidP="00F16A1C">
      <w:pPr>
        <w:jc w:val="both"/>
        <w:rPr>
          <w:rFonts w:cs="Arial"/>
          <w:szCs w:val="24"/>
        </w:rPr>
      </w:pPr>
      <w:r w:rsidRPr="00A06B32">
        <w:rPr>
          <w:rFonts w:cs="Arial"/>
          <w:szCs w:val="24"/>
        </w:rPr>
        <w:t>The change from the original cabinet approval is need</w:t>
      </w:r>
      <w:r>
        <w:rPr>
          <w:rFonts w:cs="Arial"/>
          <w:szCs w:val="24"/>
        </w:rPr>
        <w:t>ed</w:t>
      </w:r>
      <w:r w:rsidRPr="00A06B32">
        <w:rPr>
          <w:rFonts w:cs="Arial"/>
          <w:szCs w:val="24"/>
        </w:rPr>
        <w:t xml:space="preserve"> to enable </w:t>
      </w:r>
      <w:r w:rsidR="0026441A">
        <w:rPr>
          <w:rFonts w:cs="Arial"/>
          <w:szCs w:val="24"/>
        </w:rPr>
        <w:t>the Council</w:t>
      </w:r>
      <w:r w:rsidRPr="00A06B32">
        <w:rPr>
          <w:rFonts w:cs="Arial"/>
          <w:szCs w:val="24"/>
        </w:rPr>
        <w:t xml:space="preserve"> to </w:t>
      </w:r>
      <w:r>
        <w:rPr>
          <w:rFonts w:cs="Arial"/>
          <w:szCs w:val="24"/>
        </w:rPr>
        <w:t xml:space="preserve">deliver the </w:t>
      </w:r>
      <w:r w:rsidR="009140BE">
        <w:rPr>
          <w:rFonts w:cs="Arial"/>
          <w:szCs w:val="24"/>
        </w:rPr>
        <w:t>larger</w:t>
      </w:r>
      <w:r w:rsidR="004026BC">
        <w:rPr>
          <w:rFonts w:cs="Arial"/>
          <w:szCs w:val="24"/>
        </w:rPr>
        <w:t>, all-</w:t>
      </w:r>
      <w:r w:rsidR="00F16A1C">
        <w:rPr>
          <w:rFonts w:cs="Arial"/>
          <w:szCs w:val="24"/>
        </w:rPr>
        <w:t xml:space="preserve">encompassing </w:t>
      </w:r>
      <w:r w:rsidR="00C10D68">
        <w:rPr>
          <w:rFonts w:cs="Arial"/>
          <w:szCs w:val="24"/>
        </w:rPr>
        <w:t>security, and h</w:t>
      </w:r>
      <w:r w:rsidR="00F16A1C">
        <w:rPr>
          <w:rFonts w:cs="Arial"/>
          <w:szCs w:val="24"/>
        </w:rPr>
        <w:t>ealth</w:t>
      </w:r>
      <w:r w:rsidR="009140BE">
        <w:rPr>
          <w:rFonts w:cs="Arial"/>
          <w:szCs w:val="24"/>
        </w:rPr>
        <w:t xml:space="preserve"> and </w:t>
      </w:r>
      <w:r w:rsidR="00C10D68">
        <w:rPr>
          <w:rFonts w:cs="Arial"/>
          <w:szCs w:val="24"/>
        </w:rPr>
        <w:t>s</w:t>
      </w:r>
      <w:r w:rsidR="009140BE">
        <w:rPr>
          <w:rFonts w:cs="Arial"/>
          <w:szCs w:val="24"/>
        </w:rPr>
        <w:t xml:space="preserve">afety compliance programme </w:t>
      </w:r>
      <w:r w:rsidR="00F650DF">
        <w:rPr>
          <w:rFonts w:cs="Arial"/>
          <w:szCs w:val="24"/>
        </w:rPr>
        <w:t xml:space="preserve">on more </w:t>
      </w:r>
      <w:r w:rsidR="006E26BA">
        <w:rPr>
          <w:rFonts w:cs="Arial"/>
          <w:szCs w:val="24"/>
        </w:rPr>
        <w:t xml:space="preserve">priority </w:t>
      </w:r>
      <w:r w:rsidR="00E9495C">
        <w:rPr>
          <w:rFonts w:cs="Arial"/>
          <w:szCs w:val="24"/>
        </w:rPr>
        <w:t xml:space="preserve">flats and </w:t>
      </w:r>
      <w:r w:rsidR="006E26BA">
        <w:rPr>
          <w:rFonts w:cs="Arial"/>
          <w:szCs w:val="24"/>
        </w:rPr>
        <w:t>blocks</w:t>
      </w:r>
      <w:r w:rsidR="004026BC">
        <w:rPr>
          <w:rFonts w:cs="Arial"/>
          <w:szCs w:val="24"/>
        </w:rPr>
        <w:t xml:space="preserve"> </w:t>
      </w:r>
      <w:r w:rsidR="00F16A1C">
        <w:rPr>
          <w:rFonts w:cs="Arial"/>
          <w:szCs w:val="24"/>
        </w:rPr>
        <w:t xml:space="preserve">across the borough </w:t>
      </w:r>
      <w:r w:rsidR="004026BC">
        <w:rPr>
          <w:rFonts w:cs="Arial"/>
          <w:szCs w:val="24"/>
        </w:rPr>
        <w:t xml:space="preserve">which have been identified from </w:t>
      </w:r>
      <w:r w:rsidR="00F16A1C">
        <w:rPr>
          <w:rFonts w:cs="Arial"/>
          <w:szCs w:val="24"/>
        </w:rPr>
        <w:t>Fire Risk Assessments (FRA’s)</w:t>
      </w:r>
      <w:r w:rsidR="007A718A">
        <w:rPr>
          <w:rFonts w:cs="Arial"/>
          <w:szCs w:val="24"/>
        </w:rPr>
        <w:t xml:space="preserve"> since the submission of the original cabinet report.</w:t>
      </w:r>
    </w:p>
    <w:p w14:paraId="76C486FD" w14:textId="77777777" w:rsidR="00762385" w:rsidRDefault="00762385" w:rsidP="00F16A1C">
      <w:pPr>
        <w:jc w:val="both"/>
        <w:rPr>
          <w:rFonts w:cs="Arial"/>
          <w:szCs w:val="24"/>
        </w:rPr>
      </w:pPr>
    </w:p>
    <w:p w14:paraId="20F86D17" w14:textId="77777777" w:rsidR="00090484" w:rsidRPr="00234491" w:rsidRDefault="00090484" w:rsidP="00333FAA">
      <w:pPr>
        <w:rPr>
          <w:rFonts w:cs="Arial"/>
          <w:szCs w:val="24"/>
        </w:rPr>
      </w:pPr>
    </w:p>
    <w:p w14:paraId="5E3D76B0" w14:textId="665D94BF" w:rsidR="00333FAA" w:rsidRDefault="006D6B03" w:rsidP="00333FAA">
      <w:pPr>
        <w:pStyle w:val="Heading2"/>
        <w:rPr>
          <w:rFonts w:ascii="Arial" w:hAnsi="Arial"/>
          <w:sz w:val="28"/>
          <w:szCs w:val="28"/>
        </w:rPr>
      </w:pPr>
      <w:r w:rsidRPr="00D66BEC">
        <w:rPr>
          <w:rFonts w:ascii="Arial" w:hAnsi="Arial"/>
          <w:sz w:val="28"/>
          <w:szCs w:val="28"/>
        </w:rPr>
        <w:t>2.</w:t>
      </w:r>
      <w:r w:rsidR="00512994" w:rsidRPr="00D66BEC">
        <w:rPr>
          <w:rFonts w:ascii="Arial" w:hAnsi="Arial"/>
          <w:sz w:val="28"/>
          <w:szCs w:val="28"/>
        </w:rPr>
        <w:t>3</w:t>
      </w:r>
      <w:r w:rsidR="00E60117" w:rsidRPr="00D66BEC">
        <w:rPr>
          <w:rFonts w:ascii="Arial" w:hAnsi="Arial"/>
          <w:sz w:val="28"/>
          <w:szCs w:val="28"/>
        </w:rPr>
        <w:tab/>
      </w:r>
      <w:r w:rsidR="00333FAA" w:rsidRPr="00D66BEC">
        <w:rPr>
          <w:rFonts w:ascii="Arial" w:hAnsi="Arial"/>
          <w:sz w:val="28"/>
          <w:szCs w:val="28"/>
        </w:rPr>
        <w:t>Implications of the Recommendation</w:t>
      </w:r>
    </w:p>
    <w:p w14:paraId="2F204B9D" w14:textId="77777777" w:rsidR="004D68EA" w:rsidRPr="004D68EA" w:rsidRDefault="004D68EA" w:rsidP="004D68EA"/>
    <w:p w14:paraId="76FF354C" w14:textId="240E2060" w:rsidR="00333FAA" w:rsidRDefault="00577EAC" w:rsidP="00333FAA">
      <w:pPr>
        <w:pStyle w:val="Heading3"/>
        <w:rPr>
          <w:sz w:val="24"/>
          <w:szCs w:val="24"/>
        </w:rPr>
      </w:pPr>
      <w:r w:rsidRPr="00D66BEC">
        <w:rPr>
          <w:sz w:val="24"/>
          <w:szCs w:val="24"/>
        </w:rPr>
        <w:t>2.3.1</w:t>
      </w:r>
      <w:r w:rsidR="001D1661" w:rsidRPr="00D66BEC">
        <w:rPr>
          <w:sz w:val="24"/>
          <w:szCs w:val="24"/>
        </w:rPr>
        <w:tab/>
      </w:r>
      <w:r w:rsidR="00333FAA" w:rsidRPr="00D66BEC">
        <w:rPr>
          <w:sz w:val="24"/>
          <w:szCs w:val="24"/>
        </w:rPr>
        <w:t>Considerations</w:t>
      </w:r>
    </w:p>
    <w:p w14:paraId="4CFCC3EA" w14:textId="77777777" w:rsidR="004D68EA" w:rsidRPr="004D68EA" w:rsidRDefault="004D68EA" w:rsidP="004D68EA"/>
    <w:p w14:paraId="31B27E5A" w14:textId="0E0210B2" w:rsidR="00A06B32" w:rsidRDefault="008834D6" w:rsidP="00A06B32">
      <w:r>
        <w:t>T</w:t>
      </w:r>
      <w:r w:rsidR="00A06B32">
        <w:t xml:space="preserve">he recommendation </w:t>
      </w:r>
      <w:r>
        <w:t>will require a</w:t>
      </w:r>
      <w:r w:rsidR="00F21ACC">
        <w:t>n increased budget</w:t>
      </w:r>
      <w:r w:rsidR="00117C5B">
        <w:t xml:space="preserve"> </w:t>
      </w:r>
      <w:r w:rsidR="00C10132">
        <w:t>to</w:t>
      </w:r>
      <w:r w:rsidR="00A06B32">
        <w:t xml:space="preserve"> proceed </w:t>
      </w:r>
      <w:r w:rsidR="00055BCF">
        <w:t xml:space="preserve">to deliver </w:t>
      </w:r>
      <w:r w:rsidR="00A12119">
        <w:t xml:space="preserve">more </w:t>
      </w:r>
      <w:r w:rsidR="00B10CCC">
        <w:t>w</w:t>
      </w:r>
      <w:r w:rsidR="00A06B32">
        <w:t xml:space="preserve">orks to </w:t>
      </w:r>
      <w:r w:rsidR="00E9495C">
        <w:t xml:space="preserve">more priority </w:t>
      </w:r>
      <w:r w:rsidR="00BA56A7">
        <w:t xml:space="preserve">blocks </w:t>
      </w:r>
      <w:r w:rsidR="00DB34C2">
        <w:t xml:space="preserve">improving the </w:t>
      </w:r>
      <w:r w:rsidR="0010320A">
        <w:t xml:space="preserve">security and </w:t>
      </w:r>
      <w:r w:rsidR="00DB34C2">
        <w:t xml:space="preserve">safety of </w:t>
      </w:r>
      <w:r w:rsidR="00E9495C">
        <w:t xml:space="preserve">more of </w:t>
      </w:r>
      <w:r w:rsidR="00DB34C2">
        <w:t xml:space="preserve">our </w:t>
      </w:r>
      <w:r w:rsidR="00F23155">
        <w:t>residents’</w:t>
      </w:r>
      <w:r w:rsidR="00DB34C2">
        <w:t xml:space="preserve"> homes</w:t>
      </w:r>
      <w:r w:rsidR="00E9495C">
        <w:t xml:space="preserve"> earlier</w:t>
      </w:r>
      <w:r w:rsidR="00DB34C2">
        <w:t>.</w:t>
      </w:r>
    </w:p>
    <w:p w14:paraId="2A4C7FA6" w14:textId="77777777" w:rsidR="00DB34C2" w:rsidRDefault="00DB34C2" w:rsidP="00A06B32"/>
    <w:p w14:paraId="21CF09C0" w14:textId="182C5541" w:rsidR="004D68EA" w:rsidRPr="004D68EA" w:rsidRDefault="00333FAA" w:rsidP="00DC57A6">
      <w:pPr>
        <w:pStyle w:val="Heading4"/>
        <w:numPr>
          <w:ilvl w:val="2"/>
          <w:numId w:val="14"/>
        </w:numPr>
      </w:pPr>
      <w:r w:rsidRPr="00297385">
        <w:rPr>
          <w:szCs w:val="24"/>
        </w:rPr>
        <w:t xml:space="preserve">Resources, </w:t>
      </w:r>
      <w:r w:rsidR="00810D1B" w:rsidRPr="00297385">
        <w:rPr>
          <w:szCs w:val="24"/>
        </w:rPr>
        <w:t>C</w:t>
      </w:r>
      <w:r w:rsidRPr="00297385">
        <w:rPr>
          <w:szCs w:val="24"/>
        </w:rPr>
        <w:t>osts</w:t>
      </w:r>
      <w:r w:rsidR="0005392D" w:rsidRPr="00297385">
        <w:rPr>
          <w:szCs w:val="24"/>
        </w:rPr>
        <w:t>:</w:t>
      </w:r>
    </w:p>
    <w:p w14:paraId="12FB78B9" w14:textId="77777777" w:rsidR="00A06B32" w:rsidRPr="004D68EA" w:rsidRDefault="00A06B32" w:rsidP="00A06B32">
      <w:pPr>
        <w:ind w:left="720" w:hanging="720"/>
      </w:pPr>
    </w:p>
    <w:p w14:paraId="31F3185F" w14:textId="04056A4B" w:rsidR="003E7A26" w:rsidRDefault="00BC4441" w:rsidP="004D68EA">
      <w:pPr>
        <w:jc w:val="both"/>
      </w:pPr>
      <w:r w:rsidRPr="004D68EA">
        <w:t>There are 85 m</w:t>
      </w:r>
      <w:r w:rsidR="00526756" w:rsidRPr="004D68EA">
        <w:t xml:space="preserve">ore flats </w:t>
      </w:r>
      <w:r w:rsidR="00E9495C" w:rsidRPr="004D68EA">
        <w:t>and</w:t>
      </w:r>
      <w:r w:rsidR="00994705" w:rsidRPr="004D68EA">
        <w:t xml:space="preserve"> </w:t>
      </w:r>
      <w:r w:rsidRPr="004D68EA">
        <w:t xml:space="preserve">19 more </w:t>
      </w:r>
      <w:r w:rsidR="00526756" w:rsidRPr="004D68EA">
        <w:t xml:space="preserve">blocks </w:t>
      </w:r>
      <w:r w:rsidR="00E9495C" w:rsidRPr="004D68EA">
        <w:t>within the</w:t>
      </w:r>
      <w:r w:rsidR="00526756" w:rsidRPr="004D68EA">
        <w:t xml:space="preserve"> H</w:t>
      </w:r>
      <w:r w:rsidR="00F94D40" w:rsidRPr="004D68EA">
        <w:t>omesafe</w:t>
      </w:r>
      <w:r w:rsidR="00D614EC" w:rsidRPr="004D68EA">
        <w:t>-</w:t>
      </w:r>
      <w:r w:rsidR="00526756" w:rsidRPr="004D68EA">
        <w:t>3</w:t>
      </w:r>
      <w:r w:rsidR="00F94D40" w:rsidRPr="004D68EA">
        <w:t xml:space="preserve"> </w:t>
      </w:r>
      <w:r w:rsidR="0010320A">
        <w:t>P</w:t>
      </w:r>
      <w:r w:rsidR="00E9495C" w:rsidRPr="004D68EA">
        <w:t xml:space="preserve">rogramme in comparison to </w:t>
      </w:r>
      <w:r w:rsidR="00E9495C" w:rsidRPr="008A2869">
        <w:t>Homesafe-2 programme</w:t>
      </w:r>
      <w:r w:rsidR="008A2869" w:rsidRPr="008A2869">
        <w:t>.</w:t>
      </w:r>
      <w:r w:rsidR="008A2869">
        <w:t xml:space="preserve"> </w:t>
      </w:r>
      <w:r w:rsidR="00D6672B">
        <w:t xml:space="preserve">The Homesafe Programmes </w:t>
      </w:r>
      <w:r w:rsidR="00D929A3">
        <w:t xml:space="preserve">naturally </w:t>
      </w:r>
      <w:r w:rsidR="0065434F">
        <w:t>prioritise</w:t>
      </w:r>
      <w:r w:rsidR="00D929A3">
        <w:t xml:space="preserve"> fire safety works and</w:t>
      </w:r>
      <w:r w:rsidR="0065434F">
        <w:t xml:space="preserve"> </w:t>
      </w:r>
      <w:r w:rsidR="00994705" w:rsidRPr="004D68EA">
        <w:t>the blocks</w:t>
      </w:r>
      <w:r w:rsidR="00E818DA" w:rsidRPr="004D68EA">
        <w:t xml:space="preserve"> </w:t>
      </w:r>
      <w:r w:rsidR="00E9495C" w:rsidRPr="004D68EA">
        <w:t>in the H</w:t>
      </w:r>
      <w:r w:rsidR="00F23155">
        <w:t>omesafe</w:t>
      </w:r>
      <w:r w:rsidR="00E9495C" w:rsidRPr="004D68EA">
        <w:t xml:space="preserve">-3 </w:t>
      </w:r>
      <w:r w:rsidR="00877959">
        <w:t>P</w:t>
      </w:r>
      <w:r w:rsidR="00E9495C" w:rsidRPr="004D68EA">
        <w:t xml:space="preserve">rogramme </w:t>
      </w:r>
      <w:r w:rsidR="00877959">
        <w:t>have</w:t>
      </w:r>
      <w:r w:rsidR="00E9495C" w:rsidRPr="004D68EA">
        <w:t xml:space="preserve"> generated </w:t>
      </w:r>
      <w:r w:rsidR="000540B2">
        <w:t xml:space="preserve">significantly </w:t>
      </w:r>
      <w:r w:rsidR="00E818DA" w:rsidRPr="004D68EA">
        <w:t>more works</w:t>
      </w:r>
      <w:r w:rsidR="00994705" w:rsidRPr="004D68EA">
        <w:t>.</w:t>
      </w:r>
      <w:r w:rsidR="0077233F">
        <w:t xml:space="preserve"> Based on risk, the approach </w:t>
      </w:r>
      <w:r w:rsidR="0080402D">
        <w:t>is to tackle the borough’s highest storey blocks first</w:t>
      </w:r>
      <w:r w:rsidR="0079094A">
        <w:t>.</w:t>
      </w:r>
      <w:r w:rsidR="00994705" w:rsidRPr="004D68EA">
        <w:t xml:space="preserve"> </w:t>
      </w:r>
      <w:r w:rsidR="00934162" w:rsidRPr="004D68EA">
        <w:t xml:space="preserve">The specification </w:t>
      </w:r>
      <w:r w:rsidR="004131B7">
        <w:t xml:space="preserve">of the </w:t>
      </w:r>
      <w:r w:rsidR="00FD41A2" w:rsidRPr="004D68EA">
        <w:t xml:space="preserve">scope </w:t>
      </w:r>
      <w:r w:rsidR="00E818DA" w:rsidRPr="004D68EA">
        <w:t xml:space="preserve">of works </w:t>
      </w:r>
      <w:r w:rsidR="00FD41A2" w:rsidRPr="004D68EA">
        <w:t xml:space="preserve">is </w:t>
      </w:r>
      <w:r w:rsidR="005D4488" w:rsidRPr="004D68EA">
        <w:t xml:space="preserve">broadly the </w:t>
      </w:r>
      <w:r w:rsidR="00FD41A2" w:rsidRPr="004D68EA">
        <w:t xml:space="preserve">same </w:t>
      </w:r>
      <w:r w:rsidR="0023747F" w:rsidRPr="004D68EA">
        <w:t>as H</w:t>
      </w:r>
      <w:r w:rsidR="00793F77">
        <w:t>o</w:t>
      </w:r>
      <w:r w:rsidR="00F23155">
        <w:t>mesafe</w:t>
      </w:r>
      <w:r w:rsidR="0023747F" w:rsidRPr="004D68EA">
        <w:t>-2</w:t>
      </w:r>
      <w:r w:rsidR="004131B7">
        <w:t xml:space="preserve">, </w:t>
      </w:r>
      <w:r w:rsidR="00E64ADD">
        <w:t xml:space="preserve">but </w:t>
      </w:r>
      <w:r w:rsidR="00E64ADD" w:rsidRPr="004D68EA">
        <w:t>Homesafe</w:t>
      </w:r>
      <w:r w:rsidR="00A06B32" w:rsidRPr="004D68EA">
        <w:t>-3 block</w:t>
      </w:r>
      <w:r w:rsidR="00096728" w:rsidRPr="004D68EA">
        <w:t xml:space="preserve">s are in generally </w:t>
      </w:r>
      <w:r w:rsidR="00A00B53" w:rsidRPr="004D68EA">
        <w:t>poor</w:t>
      </w:r>
      <w:r w:rsidR="00096728" w:rsidRPr="004D68EA">
        <w:t>er</w:t>
      </w:r>
      <w:r w:rsidR="00A00B53" w:rsidRPr="004D68EA">
        <w:t xml:space="preserve"> condition </w:t>
      </w:r>
      <w:r w:rsidR="00AB30D2">
        <w:t xml:space="preserve">in terms of </w:t>
      </w:r>
      <w:r w:rsidR="00D6672B">
        <w:t xml:space="preserve">communal entrances </w:t>
      </w:r>
      <w:r w:rsidR="007D6E82" w:rsidRPr="004D68EA">
        <w:t xml:space="preserve">and </w:t>
      </w:r>
      <w:r w:rsidR="000350DF" w:rsidRPr="004D68EA">
        <w:t xml:space="preserve">blocks </w:t>
      </w:r>
      <w:r w:rsidR="007D6E82" w:rsidRPr="004D68EA">
        <w:t>are of different layouts to the</w:t>
      </w:r>
      <w:r w:rsidR="00096728" w:rsidRPr="004D68EA">
        <w:t xml:space="preserve"> </w:t>
      </w:r>
      <w:r w:rsidR="00103FD6" w:rsidRPr="004D68EA">
        <w:t>H</w:t>
      </w:r>
      <w:r w:rsidR="00F23155">
        <w:t>omesafe</w:t>
      </w:r>
      <w:r w:rsidR="00096728" w:rsidRPr="004D68EA">
        <w:t xml:space="preserve">-2 </w:t>
      </w:r>
      <w:r w:rsidR="00103FD6" w:rsidRPr="004D68EA">
        <w:t>programme</w:t>
      </w:r>
      <w:r w:rsidR="00E9495C" w:rsidRPr="004D68EA">
        <w:t xml:space="preserve"> </w:t>
      </w:r>
      <w:r w:rsidR="005104FE" w:rsidRPr="004D68EA">
        <w:t>on</w:t>
      </w:r>
      <w:r w:rsidR="00E9495C" w:rsidRPr="004D68EA">
        <w:t xml:space="preserve"> which the original </w:t>
      </w:r>
      <w:r w:rsidR="0032649E">
        <w:t xml:space="preserve">HRA </w:t>
      </w:r>
      <w:r w:rsidR="000540B2">
        <w:t>bu</w:t>
      </w:r>
      <w:r w:rsidR="00E9495C" w:rsidRPr="004D68EA">
        <w:t>dget was based.</w:t>
      </w:r>
    </w:p>
    <w:p w14:paraId="1274BCBD" w14:textId="77777777" w:rsidR="003E7A26" w:rsidRDefault="003E7A26" w:rsidP="004D68EA">
      <w:pPr>
        <w:jc w:val="both"/>
      </w:pPr>
    </w:p>
    <w:p w14:paraId="0E06514A" w14:textId="37BAFBC9" w:rsidR="00770A74" w:rsidRPr="00C13238" w:rsidRDefault="003E7A26" w:rsidP="004D68EA">
      <w:pPr>
        <w:jc w:val="both"/>
      </w:pPr>
      <w:r>
        <w:t>I</w:t>
      </w:r>
      <w:r w:rsidR="00E9495C" w:rsidRPr="004D68EA">
        <w:t xml:space="preserve">n addition to </w:t>
      </w:r>
      <w:r w:rsidR="005104FE" w:rsidRPr="004D68EA">
        <w:t xml:space="preserve">many </w:t>
      </w:r>
      <w:r w:rsidR="00E9495C" w:rsidRPr="004D68EA">
        <w:t>more properties t</w:t>
      </w:r>
      <w:r w:rsidR="00400919" w:rsidRPr="004D68EA">
        <w:t>h</w:t>
      </w:r>
      <w:r w:rsidR="00E9495C" w:rsidRPr="004D68EA">
        <w:t>e</w:t>
      </w:r>
      <w:r w:rsidR="00400919" w:rsidRPr="004D68EA">
        <w:t xml:space="preserve"> </w:t>
      </w:r>
      <w:r w:rsidR="00E9495C" w:rsidRPr="004D68EA">
        <w:t xml:space="preserve">poorer condition </w:t>
      </w:r>
      <w:r w:rsidR="0023747F" w:rsidRPr="004D68EA">
        <w:t>necessitates</w:t>
      </w:r>
      <w:r w:rsidR="00A06B32" w:rsidRPr="004D68EA">
        <w:t xml:space="preserve"> </w:t>
      </w:r>
      <w:r w:rsidR="00E9495C" w:rsidRPr="004D68EA">
        <w:t xml:space="preserve">proportionally </w:t>
      </w:r>
      <w:r w:rsidR="00697E9E" w:rsidRPr="004D68EA">
        <w:t>mor</w:t>
      </w:r>
      <w:r w:rsidR="00A06B32" w:rsidRPr="004D68EA">
        <w:t>e</w:t>
      </w:r>
      <w:r w:rsidR="000540B2">
        <w:t xml:space="preserve"> new e</w:t>
      </w:r>
      <w:r w:rsidR="00A06B32" w:rsidRPr="004D68EA">
        <w:t>ntrance doors/screens</w:t>
      </w:r>
      <w:r w:rsidR="00881D8E" w:rsidRPr="004D68EA">
        <w:t xml:space="preserve"> </w:t>
      </w:r>
      <w:r w:rsidR="00617499" w:rsidRPr="004D68EA">
        <w:t>replacement</w:t>
      </w:r>
      <w:r w:rsidR="00697E9E" w:rsidRPr="004D68EA">
        <w:t>s</w:t>
      </w:r>
      <w:r w:rsidR="000228A2" w:rsidRPr="004D68EA">
        <w:t xml:space="preserve"> and b</w:t>
      </w:r>
      <w:r w:rsidR="00146EC8" w:rsidRPr="004D68EA">
        <w:t xml:space="preserve">in storage relocation </w:t>
      </w:r>
      <w:r w:rsidR="0098618A" w:rsidRPr="004D68EA">
        <w:t xml:space="preserve">works </w:t>
      </w:r>
      <w:r w:rsidR="004D282D" w:rsidRPr="004D68EA">
        <w:t>together with</w:t>
      </w:r>
      <w:r w:rsidR="004B1775" w:rsidRPr="004D68EA">
        <w:t xml:space="preserve"> </w:t>
      </w:r>
      <w:r w:rsidR="000228A2" w:rsidRPr="004D68EA">
        <w:t xml:space="preserve">the </w:t>
      </w:r>
      <w:r w:rsidR="00400919" w:rsidRPr="004D68EA">
        <w:t>decommissioning</w:t>
      </w:r>
      <w:r w:rsidR="005F1B13" w:rsidRPr="004D68EA">
        <w:t xml:space="preserve"> of </w:t>
      </w:r>
      <w:r w:rsidR="002770C4" w:rsidRPr="004D68EA">
        <w:t xml:space="preserve">refuse chutes </w:t>
      </w:r>
      <w:r w:rsidR="00400919" w:rsidRPr="004D68EA">
        <w:t>and</w:t>
      </w:r>
      <w:r w:rsidR="004B1775" w:rsidRPr="004D68EA">
        <w:t xml:space="preserve"> associated</w:t>
      </w:r>
      <w:r w:rsidR="00400919" w:rsidRPr="004D68EA">
        <w:t xml:space="preserve"> </w:t>
      </w:r>
      <w:r w:rsidR="00AC6A35" w:rsidRPr="004D68EA">
        <w:t>fire</w:t>
      </w:r>
      <w:r w:rsidR="004D282D" w:rsidRPr="004D68EA">
        <w:t xml:space="preserve"> </w:t>
      </w:r>
      <w:r w:rsidR="00C835F0" w:rsidRPr="004D68EA">
        <w:t>compartmentalisation</w:t>
      </w:r>
      <w:r w:rsidR="000C0E22" w:rsidRPr="004D68EA">
        <w:t>.</w:t>
      </w:r>
      <w:r w:rsidR="00652C15" w:rsidRPr="004D68EA">
        <w:t xml:space="preserve"> T</w:t>
      </w:r>
      <w:r w:rsidR="004D282D" w:rsidRPr="004D68EA">
        <w:t xml:space="preserve">his additional work </w:t>
      </w:r>
      <w:r w:rsidR="00652C15" w:rsidRPr="004D68EA">
        <w:t>has impacted on the</w:t>
      </w:r>
      <w:r w:rsidR="00032AA3" w:rsidRPr="004D68EA">
        <w:t xml:space="preserve"> </w:t>
      </w:r>
      <w:r w:rsidR="00645CA6" w:rsidRPr="004D68EA">
        <w:t xml:space="preserve">overall scheme costs </w:t>
      </w:r>
      <w:r w:rsidR="00117C5B">
        <w:t>meaning that</w:t>
      </w:r>
      <w:r w:rsidR="00117C5B" w:rsidRPr="004D68EA">
        <w:t xml:space="preserve"> </w:t>
      </w:r>
      <w:r w:rsidR="00BD65B9" w:rsidRPr="004D68EA">
        <w:t xml:space="preserve">the </w:t>
      </w:r>
      <w:r w:rsidR="00162817" w:rsidRPr="004D68EA">
        <w:t>approved</w:t>
      </w:r>
      <w:r w:rsidR="00BD65B9" w:rsidRPr="004D68EA">
        <w:t xml:space="preserve"> </w:t>
      </w:r>
      <w:r w:rsidR="009C4612" w:rsidRPr="004D68EA">
        <w:t>budget allocation of £2.4m</w:t>
      </w:r>
      <w:r w:rsidR="00652C15" w:rsidRPr="004D68EA">
        <w:t xml:space="preserve"> </w:t>
      </w:r>
      <w:r w:rsidR="00117C5B">
        <w:t>needs to be increased</w:t>
      </w:r>
      <w:r w:rsidR="006E1C94" w:rsidRPr="004D68EA">
        <w:t xml:space="preserve">. </w:t>
      </w:r>
      <w:r w:rsidR="00102354">
        <w:t>T</w:t>
      </w:r>
      <w:r w:rsidR="00117C5B">
        <w:t>o a</w:t>
      </w:r>
      <w:r w:rsidR="003503BC" w:rsidRPr="004D68EA">
        <w:t xml:space="preserve">ddress the fire and safety issues to a </w:t>
      </w:r>
      <w:r w:rsidR="00E148AC" w:rsidRPr="004D68EA">
        <w:t>larger</w:t>
      </w:r>
      <w:r w:rsidR="003503BC" w:rsidRPr="004D68EA">
        <w:t xml:space="preserve"> number </w:t>
      </w:r>
      <w:r w:rsidR="00E148AC" w:rsidRPr="004D68EA">
        <w:t xml:space="preserve">of homes and blocks </w:t>
      </w:r>
      <w:r w:rsidR="00F23155">
        <w:t xml:space="preserve">and </w:t>
      </w:r>
      <w:r w:rsidR="00770A74" w:rsidRPr="004D68EA">
        <w:t>provide many safer homes earl</w:t>
      </w:r>
      <w:r w:rsidR="00D614EC" w:rsidRPr="004D68EA">
        <w:t>ier</w:t>
      </w:r>
      <w:r w:rsidR="00102354">
        <w:t>, we</w:t>
      </w:r>
      <w:r w:rsidR="00E9495C" w:rsidRPr="004D68EA">
        <w:t xml:space="preserve"> </w:t>
      </w:r>
      <w:r w:rsidR="00F23155">
        <w:t>this</w:t>
      </w:r>
      <w:r w:rsidR="00E9495C" w:rsidRPr="004D68EA">
        <w:t xml:space="preserve"> </w:t>
      </w:r>
      <w:r w:rsidR="00F23155">
        <w:t xml:space="preserve">will </w:t>
      </w:r>
      <w:r w:rsidR="00E9495C" w:rsidRPr="004D68EA">
        <w:t>require more finance.</w:t>
      </w:r>
    </w:p>
    <w:p w14:paraId="2701F211" w14:textId="77777777" w:rsidR="009C4612" w:rsidRDefault="009C4612" w:rsidP="00177AC7"/>
    <w:p w14:paraId="326F57E9" w14:textId="28DCD1C7" w:rsidR="00A06B32" w:rsidRDefault="00A06B32" w:rsidP="004D68EA">
      <w:pPr>
        <w:jc w:val="both"/>
      </w:pPr>
      <w:r>
        <w:t xml:space="preserve">The contract </w:t>
      </w:r>
      <w:r w:rsidR="00CE3F32">
        <w:t>will be</w:t>
      </w:r>
      <w:r w:rsidR="001F5F58">
        <w:t xml:space="preserve"> </w:t>
      </w:r>
      <w:r>
        <w:t xml:space="preserve">procured via an </w:t>
      </w:r>
      <w:r w:rsidR="000C53B2">
        <w:t>o</w:t>
      </w:r>
      <w:r>
        <w:t xml:space="preserve">pen </w:t>
      </w:r>
      <w:r w:rsidR="000C53B2">
        <w:t>m</w:t>
      </w:r>
      <w:r>
        <w:t xml:space="preserve">arket </w:t>
      </w:r>
      <w:r w:rsidR="000C53B2">
        <w:t>t</w:t>
      </w:r>
      <w:r>
        <w:t xml:space="preserve">ender process </w:t>
      </w:r>
      <w:r w:rsidR="00035527">
        <w:t xml:space="preserve">and </w:t>
      </w:r>
      <w:r w:rsidR="00E64ADD">
        <w:t>published on</w:t>
      </w:r>
      <w:r>
        <w:t xml:space="preserve"> </w:t>
      </w:r>
      <w:r w:rsidRPr="00880D65">
        <w:t>the London Tenders Portal</w:t>
      </w:r>
      <w:r>
        <w:t xml:space="preserve">. The external resources required for this project will be </w:t>
      </w:r>
      <w:r w:rsidR="00223E75">
        <w:t xml:space="preserve">asbestos and </w:t>
      </w:r>
      <w:r>
        <w:t xml:space="preserve">CDM Consultants, Principal </w:t>
      </w:r>
      <w:r w:rsidR="0006220C">
        <w:t>Contractor,</w:t>
      </w:r>
      <w:r>
        <w:t xml:space="preserve"> and sub-contractors. The </w:t>
      </w:r>
      <w:r w:rsidR="00F83CDF">
        <w:t xml:space="preserve">actual </w:t>
      </w:r>
      <w:r>
        <w:t xml:space="preserve">costs associated with the </w:t>
      </w:r>
      <w:r w:rsidR="00F83CDF">
        <w:t>Programme</w:t>
      </w:r>
      <w:r>
        <w:t xml:space="preserve"> </w:t>
      </w:r>
      <w:r w:rsidR="00F83CDF">
        <w:t>will be</w:t>
      </w:r>
      <w:r>
        <w:t xml:space="preserve"> determined by the </w:t>
      </w:r>
      <w:r w:rsidR="00A00911">
        <w:t>actual tenders received</w:t>
      </w:r>
      <w:r>
        <w:t xml:space="preserve">. </w:t>
      </w:r>
      <w:r w:rsidR="00A00911">
        <w:t xml:space="preserve">Evaluation of tenders will </w:t>
      </w:r>
      <w:r w:rsidR="00874FC3">
        <w:t>be based</w:t>
      </w:r>
      <w:r>
        <w:t xml:space="preserve"> on </w:t>
      </w:r>
      <w:r w:rsidR="00117C5B">
        <w:t>financial</w:t>
      </w:r>
      <w:r>
        <w:t>, quality, and social value</w:t>
      </w:r>
      <w:r w:rsidRPr="00FF78E3">
        <w:t xml:space="preserve"> and</w:t>
      </w:r>
      <w:r w:rsidR="008D19EC">
        <w:t xml:space="preserve"> thus</w:t>
      </w:r>
      <w:r w:rsidRPr="00FF78E3">
        <w:t xml:space="preserve"> may not result in the lowest priced tender</w:t>
      </w:r>
      <w:r w:rsidR="008D19EC">
        <w:t>er</w:t>
      </w:r>
      <w:r w:rsidRPr="00FF78E3">
        <w:t xml:space="preserve"> winning. </w:t>
      </w:r>
      <w:r>
        <w:t xml:space="preserve"> </w:t>
      </w:r>
      <w:r w:rsidRPr="00474534">
        <w:t xml:space="preserve">However, </w:t>
      </w:r>
      <w:r w:rsidR="00223E75" w:rsidRPr="00474534">
        <w:t xml:space="preserve">the market for this nature of works is saturated as </w:t>
      </w:r>
      <w:r w:rsidR="00117C5B" w:rsidRPr="00474534">
        <w:t xml:space="preserve">all </w:t>
      </w:r>
      <w:r w:rsidR="00F23155" w:rsidRPr="00474534">
        <w:t xml:space="preserve">UK </w:t>
      </w:r>
      <w:r w:rsidR="00117C5B" w:rsidRPr="00474534">
        <w:t>landlords look to purchase similar works from suitably qualified contractors</w:t>
      </w:r>
      <w:r w:rsidR="00223E75" w:rsidRPr="00474534">
        <w:t xml:space="preserve"> following </w:t>
      </w:r>
      <w:r w:rsidR="0064704B" w:rsidRPr="00474534">
        <w:t xml:space="preserve">the </w:t>
      </w:r>
      <w:r w:rsidR="003E6E87" w:rsidRPr="00474534">
        <w:t>Grenfell</w:t>
      </w:r>
      <w:r w:rsidR="00223E75" w:rsidRPr="00474534">
        <w:t xml:space="preserve"> Tower</w:t>
      </w:r>
      <w:r w:rsidR="003E6E87" w:rsidRPr="00474534">
        <w:t xml:space="preserve"> fire disaster</w:t>
      </w:r>
      <w:r w:rsidR="00F773E5">
        <w:t>.</w:t>
      </w:r>
      <w:r w:rsidR="008D3E9A">
        <w:t xml:space="preserve"> </w:t>
      </w:r>
    </w:p>
    <w:p w14:paraId="31991965" w14:textId="77777777" w:rsidR="0064704B" w:rsidRDefault="0064704B" w:rsidP="00177AC7"/>
    <w:p w14:paraId="3B33563A" w14:textId="77CF6FAF" w:rsidR="00A06B32" w:rsidRDefault="00A06B32" w:rsidP="004D68EA">
      <w:pPr>
        <w:jc w:val="both"/>
      </w:pPr>
      <w:r>
        <w:t xml:space="preserve">The scope of </w:t>
      </w:r>
      <w:r w:rsidR="00A30F55">
        <w:t>the wo</w:t>
      </w:r>
      <w:r w:rsidR="00297385">
        <w:t>r</w:t>
      </w:r>
      <w:r w:rsidR="00A30F55">
        <w:t xml:space="preserve">ks </w:t>
      </w:r>
      <w:r>
        <w:t xml:space="preserve">specification covers the compliance works and no allowance is made for decorations and new floorings to common parts </w:t>
      </w:r>
      <w:r w:rsidR="00874FC3">
        <w:t>etc, as</w:t>
      </w:r>
      <w:r w:rsidR="001A6A4B">
        <w:t xml:space="preserve"> </w:t>
      </w:r>
      <w:r w:rsidR="00A30F55">
        <w:t xml:space="preserve">under </w:t>
      </w:r>
      <w:r w:rsidR="00F23155">
        <w:t xml:space="preserve">the </w:t>
      </w:r>
      <w:r w:rsidR="001A6A4B">
        <w:t>H</w:t>
      </w:r>
      <w:r w:rsidR="00F23155">
        <w:t>omesafe</w:t>
      </w:r>
      <w:r w:rsidR="001A6A4B">
        <w:t>-2</w:t>
      </w:r>
      <w:r w:rsidR="00F23155">
        <w:t xml:space="preserve"> contact</w:t>
      </w:r>
      <w:r w:rsidR="00A30F55">
        <w:t xml:space="preserve">, </w:t>
      </w:r>
      <w:r w:rsidR="00F23155">
        <w:t xml:space="preserve">but </w:t>
      </w:r>
      <w:r>
        <w:t xml:space="preserve">focuses on essential </w:t>
      </w:r>
      <w:r w:rsidR="0006220C">
        <w:t xml:space="preserve">safety </w:t>
      </w:r>
      <w:r>
        <w:t>compliance and security works. The scope overall remains similar but has evolved to include the following: -</w:t>
      </w:r>
    </w:p>
    <w:p w14:paraId="3B7FB4AE" w14:textId="77777777" w:rsidR="00A06B32" w:rsidRDefault="00A06B32" w:rsidP="004D68EA">
      <w:pPr>
        <w:ind w:left="720"/>
        <w:jc w:val="both"/>
      </w:pPr>
    </w:p>
    <w:p w14:paraId="0910A257" w14:textId="56A97532" w:rsidR="00A06B32" w:rsidRDefault="00A06B32" w:rsidP="004D68EA">
      <w:pPr>
        <w:pStyle w:val="ListParagraph"/>
        <w:numPr>
          <w:ilvl w:val="0"/>
          <w:numId w:val="10"/>
        </w:numPr>
        <w:jc w:val="both"/>
      </w:pPr>
      <w:r>
        <w:t xml:space="preserve">Emergency lighting systems are </w:t>
      </w:r>
      <w:r w:rsidR="001A6A4B">
        <w:t xml:space="preserve">now smart </w:t>
      </w:r>
      <w:r>
        <w:t xml:space="preserve">cloud based </w:t>
      </w:r>
      <w:r w:rsidR="001A6A4B">
        <w:t>with</w:t>
      </w:r>
      <w:r>
        <w:t xml:space="preserve"> self-reporting </w:t>
      </w:r>
      <w:r w:rsidR="001A6A4B">
        <w:t>facilities since</w:t>
      </w:r>
      <w:r>
        <w:t xml:space="preserve"> H</w:t>
      </w:r>
      <w:r w:rsidR="00F23155">
        <w:t>omesafe</w:t>
      </w:r>
      <w:r>
        <w:t>-</w:t>
      </w:r>
      <w:r w:rsidR="00DA1958">
        <w:t>2</w:t>
      </w:r>
      <w:r>
        <w:t xml:space="preserve"> which reduces ongoing monthly maintenance significantly </w:t>
      </w:r>
      <w:r w:rsidR="00F23155">
        <w:t xml:space="preserve">throughout product lifespan </w:t>
      </w:r>
      <w:r>
        <w:t xml:space="preserve">but increases installation </w:t>
      </w:r>
      <w:r w:rsidR="001A6A4B">
        <w:t xml:space="preserve">capital </w:t>
      </w:r>
      <w:r>
        <w:t>costs.</w:t>
      </w:r>
    </w:p>
    <w:p w14:paraId="5E4F5987" w14:textId="77777777" w:rsidR="004D68EA" w:rsidRDefault="004D68EA" w:rsidP="004D68EA">
      <w:pPr>
        <w:pStyle w:val="ListParagraph"/>
        <w:ind w:left="360"/>
        <w:jc w:val="both"/>
      </w:pPr>
    </w:p>
    <w:p w14:paraId="0979EE4C" w14:textId="6D999C8E" w:rsidR="00A06B32" w:rsidRDefault="00A06B32" w:rsidP="004D68EA">
      <w:pPr>
        <w:pStyle w:val="ListParagraph"/>
        <w:numPr>
          <w:ilvl w:val="0"/>
          <w:numId w:val="10"/>
        </w:numPr>
        <w:jc w:val="both"/>
      </w:pPr>
      <w:r>
        <w:t>Alarm detection to flats now includes additional hardware (</w:t>
      </w:r>
      <w:r w:rsidR="00512039">
        <w:t>p</w:t>
      </w:r>
      <w:r>
        <w:t xml:space="preserve">iloted in </w:t>
      </w:r>
      <w:r w:rsidR="00512039">
        <w:t>Homesafe</w:t>
      </w:r>
      <w:r w:rsidR="00931958">
        <w:t>-</w:t>
      </w:r>
      <w:r w:rsidR="00512039">
        <w:t>2</w:t>
      </w:r>
      <w:r>
        <w:t>)</w:t>
      </w:r>
    </w:p>
    <w:p w14:paraId="36E1D05B" w14:textId="77777777" w:rsidR="004D68EA" w:rsidRDefault="004D68EA" w:rsidP="004D68EA">
      <w:pPr>
        <w:pStyle w:val="ListParagraph"/>
        <w:ind w:left="360"/>
        <w:jc w:val="both"/>
      </w:pPr>
    </w:p>
    <w:p w14:paraId="25B77FF9" w14:textId="04F118A9" w:rsidR="00A06B32" w:rsidRDefault="00A06B32" w:rsidP="004D68EA">
      <w:pPr>
        <w:pStyle w:val="ListParagraph"/>
        <w:numPr>
          <w:ilvl w:val="0"/>
          <w:numId w:val="10"/>
        </w:numPr>
        <w:jc w:val="both"/>
      </w:pPr>
      <w:r>
        <w:t xml:space="preserve">Fire </w:t>
      </w:r>
      <w:r w:rsidR="00E94B18">
        <w:t xml:space="preserve">FD30S </w:t>
      </w:r>
      <w:r>
        <w:t>doorsets:</w:t>
      </w:r>
      <w:r w:rsidR="006459DD">
        <w:t xml:space="preserve"> </w:t>
      </w:r>
    </w:p>
    <w:p w14:paraId="304BC4CA" w14:textId="77777777" w:rsidR="004D68EA" w:rsidRDefault="004D68EA" w:rsidP="004D68EA">
      <w:pPr>
        <w:pStyle w:val="ListParagraph"/>
        <w:ind w:left="360"/>
        <w:jc w:val="both"/>
      </w:pPr>
    </w:p>
    <w:p w14:paraId="0BB54D4D" w14:textId="0259DDF0" w:rsidR="00A06B32" w:rsidRDefault="004E595C" w:rsidP="004D68EA">
      <w:pPr>
        <w:pStyle w:val="ListParagraph"/>
        <w:numPr>
          <w:ilvl w:val="1"/>
          <w:numId w:val="10"/>
        </w:numPr>
        <w:jc w:val="both"/>
      </w:pPr>
      <w:r>
        <w:t>I</w:t>
      </w:r>
      <w:r w:rsidR="00A06B32">
        <w:t>nclude</w:t>
      </w:r>
      <w:r w:rsidR="00902696">
        <w:t>s</w:t>
      </w:r>
      <w:r w:rsidR="00A06B32">
        <w:t xml:space="preserve"> </w:t>
      </w:r>
      <w:r w:rsidR="00861FD5">
        <w:t xml:space="preserve">for </w:t>
      </w:r>
      <w:r w:rsidR="00A06B32">
        <w:t xml:space="preserve">both </w:t>
      </w:r>
      <w:r w:rsidR="00E94B18">
        <w:t xml:space="preserve">additional fire frames above </w:t>
      </w:r>
      <w:r w:rsidR="00A06B32">
        <w:t xml:space="preserve">and </w:t>
      </w:r>
      <w:r w:rsidR="001A6A4B">
        <w:t xml:space="preserve">to the side of flat front door FD30S doorsets (fanlights and </w:t>
      </w:r>
      <w:r w:rsidR="00A06B32">
        <w:t>sidelights</w:t>
      </w:r>
      <w:r w:rsidR="00E94B18">
        <w:t>)</w:t>
      </w:r>
      <w:r w:rsidR="00A06B32">
        <w:t xml:space="preserve"> </w:t>
      </w:r>
      <w:r w:rsidR="00E94B18">
        <w:t>with</w:t>
      </w:r>
      <w:r w:rsidR="00A06B32">
        <w:t>in the H</w:t>
      </w:r>
      <w:r w:rsidR="00902696">
        <w:t>omesafe</w:t>
      </w:r>
      <w:r w:rsidR="00A06B32">
        <w:t>-3 specification</w:t>
      </w:r>
      <w:r w:rsidR="00B3536B">
        <w:t>.</w:t>
      </w:r>
    </w:p>
    <w:p w14:paraId="3F2F9C2A" w14:textId="77777777" w:rsidR="001A6A4B" w:rsidRDefault="001A6A4B" w:rsidP="001A6A4B">
      <w:pPr>
        <w:pStyle w:val="ListParagraph"/>
        <w:ind w:left="1080"/>
        <w:jc w:val="both"/>
      </w:pPr>
    </w:p>
    <w:p w14:paraId="08F3598D" w14:textId="1E67718D" w:rsidR="00A06B32" w:rsidRDefault="00A06B32" w:rsidP="004D68EA">
      <w:pPr>
        <w:pStyle w:val="ListParagraph"/>
        <w:numPr>
          <w:ilvl w:val="1"/>
          <w:numId w:val="10"/>
        </w:numPr>
        <w:jc w:val="both"/>
      </w:pPr>
      <w:r>
        <w:t xml:space="preserve">Resident and landlord store </w:t>
      </w:r>
      <w:r w:rsidR="00C55F3B">
        <w:t xml:space="preserve">FD30S doorsets </w:t>
      </w:r>
      <w:r>
        <w:t>are included where applicable in H</w:t>
      </w:r>
      <w:r w:rsidR="00426661">
        <w:t>omesafe</w:t>
      </w:r>
      <w:r>
        <w:t xml:space="preserve">-3 </w:t>
      </w:r>
      <w:r w:rsidR="001A6A4B">
        <w:t xml:space="preserve">tender </w:t>
      </w:r>
      <w:r w:rsidRPr="004D68EA">
        <w:t xml:space="preserve">when previously they were not and </w:t>
      </w:r>
      <w:r w:rsidR="00971C42" w:rsidRPr="004D68EA">
        <w:t xml:space="preserve">were </w:t>
      </w:r>
      <w:r w:rsidRPr="004D68EA">
        <w:t xml:space="preserve">dealt with by </w:t>
      </w:r>
      <w:r w:rsidR="00971C42" w:rsidRPr="004D68EA">
        <w:t xml:space="preserve">additions/variations </w:t>
      </w:r>
      <w:r w:rsidRPr="004D68EA">
        <w:t>to H</w:t>
      </w:r>
      <w:r w:rsidR="00426661">
        <w:t>omesafe</w:t>
      </w:r>
      <w:r w:rsidRPr="004D68EA">
        <w:t>-</w:t>
      </w:r>
      <w:r w:rsidR="00971C42" w:rsidRPr="004D68EA">
        <w:t>2</w:t>
      </w:r>
      <w:r w:rsidRPr="004D68EA">
        <w:t xml:space="preserve"> contract</w:t>
      </w:r>
      <w:r w:rsidR="00861FD5" w:rsidRPr="004D68EA">
        <w:t xml:space="preserve"> </w:t>
      </w:r>
      <w:r w:rsidR="00931958" w:rsidRPr="004D68EA">
        <w:t>thus</w:t>
      </w:r>
      <w:r w:rsidR="00B3536B">
        <w:t xml:space="preserve"> potentially</w:t>
      </w:r>
      <w:r w:rsidR="00931958" w:rsidRPr="004D68EA">
        <w:t xml:space="preserve"> </w:t>
      </w:r>
      <w:r w:rsidR="00861FD5" w:rsidRPr="004D68EA">
        <w:t>increasing tender costs.</w:t>
      </w:r>
    </w:p>
    <w:p w14:paraId="3FFBA9F7" w14:textId="77777777" w:rsidR="004D68EA" w:rsidRPr="004D68EA" w:rsidRDefault="004D68EA" w:rsidP="004D68EA">
      <w:pPr>
        <w:pStyle w:val="ListParagraph"/>
        <w:ind w:left="1080"/>
        <w:jc w:val="both"/>
      </w:pPr>
    </w:p>
    <w:p w14:paraId="7ABF1E15" w14:textId="77777777" w:rsidR="00A06B32" w:rsidRPr="004D68EA" w:rsidRDefault="00A06B32" w:rsidP="004D68EA">
      <w:pPr>
        <w:pStyle w:val="ListParagraph"/>
        <w:numPr>
          <w:ilvl w:val="0"/>
          <w:numId w:val="10"/>
        </w:numPr>
        <w:jc w:val="both"/>
      </w:pPr>
      <w:bookmarkStart w:id="1" w:name="_Hlk77152532"/>
      <w:r w:rsidRPr="004D68EA">
        <w:t>Main Entrance screens/doors:</w:t>
      </w:r>
    </w:p>
    <w:p w14:paraId="57D43489" w14:textId="2B23461A" w:rsidR="00A06B32" w:rsidRPr="004D68EA" w:rsidRDefault="00A06B32" w:rsidP="004D68EA">
      <w:pPr>
        <w:pStyle w:val="ListParagraph"/>
        <w:numPr>
          <w:ilvl w:val="1"/>
          <w:numId w:val="10"/>
        </w:numPr>
        <w:jc w:val="both"/>
      </w:pPr>
      <w:r w:rsidRPr="004D68EA">
        <w:t xml:space="preserve">There </w:t>
      </w:r>
      <w:r w:rsidR="001A6A4B">
        <w:t>is</w:t>
      </w:r>
      <w:r w:rsidRPr="004D68EA">
        <w:t xml:space="preserve"> no </w:t>
      </w:r>
      <w:r w:rsidR="004D68EA" w:rsidRPr="004D68EA">
        <w:t>medium-term</w:t>
      </w:r>
      <w:r w:rsidR="00052C6B" w:rsidRPr="004D68EA">
        <w:t xml:space="preserve"> </w:t>
      </w:r>
      <w:r w:rsidRPr="004D68EA">
        <w:t xml:space="preserve">refurbishment solution opportunity for </w:t>
      </w:r>
      <w:r w:rsidR="00861FD5" w:rsidRPr="004D68EA">
        <w:t xml:space="preserve">many </w:t>
      </w:r>
      <w:r w:rsidRPr="004D68EA">
        <w:t xml:space="preserve">entrance screens/doors </w:t>
      </w:r>
      <w:r w:rsidR="00931958" w:rsidRPr="004D68EA">
        <w:t xml:space="preserve">(73No) </w:t>
      </w:r>
      <w:r w:rsidR="00971C42" w:rsidRPr="004D68EA">
        <w:t xml:space="preserve">in </w:t>
      </w:r>
      <w:r w:rsidR="00861FD5" w:rsidRPr="004D68EA">
        <w:t xml:space="preserve">the </w:t>
      </w:r>
      <w:r w:rsidR="00971C42" w:rsidRPr="004D68EA">
        <w:t>H</w:t>
      </w:r>
      <w:r w:rsidR="00426661">
        <w:t>omesafe</w:t>
      </w:r>
      <w:r w:rsidR="00971C42" w:rsidRPr="004D68EA">
        <w:t xml:space="preserve">-3 </w:t>
      </w:r>
      <w:r w:rsidR="00861FD5" w:rsidRPr="004D68EA">
        <w:t xml:space="preserve">blocks </w:t>
      </w:r>
      <w:r w:rsidRPr="004D68EA">
        <w:t xml:space="preserve">which are in </w:t>
      </w:r>
      <w:r w:rsidR="00052C6B" w:rsidRPr="004D68EA">
        <w:t>worse</w:t>
      </w:r>
      <w:r w:rsidRPr="004D68EA">
        <w:t xml:space="preserve"> condition overall than H</w:t>
      </w:r>
      <w:r w:rsidR="00426661">
        <w:t>omesafe</w:t>
      </w:r>
      <w:r w:rsidRPr="004D68EA">
        <w:t>-2</w:t>
      </w:r>
      <w:r w:rsidR="00971C42" w:rsidRPr="004D68EA">
        <w:t xml:space="preserve"> </w:t>
      </w:r>
      <w:r w:rsidR="00931958" w:rsidRPr="004D68EA">
        <w:t xml:space="preserve">(26No) </w:t>
      </w:r>
      <w:r w:rsidR="00971C42" w:rsidRPr="004D68EA">
        <w:t>and therefore need replacement with new</w:t>
      </w:r>
      <w:r w:rsidR="00861FD5" w:rsidRPr="004D68EA">
        <w:t xml:space="preserve"> at much greater cost</w:t>
      </w:r>
      <w:r w:rsidR="00426661">
        <w:t xml:space="preserve"> than refurbishment</w:t>
      </w:r>
      <w:r w:rsidR="00861FD5" w:rsidRPr="004D68EA">
        <w:t>.</w:t>
      </w:r>
    </w:p>
    <w:bookmarkEnd w:id="1"/>
    <w:p w14:paraId="74349A60" w14:textId="3D5BACDB" w:rsidR="0054590F" w:rsidRDefault="0054590F" w:rsidP="0054590F">
      <w:pPr>
        <w:rPr>
          <w:szCs w:val="24"/>
        </w:rPr>
      </w:pPr>
    </w:p>
    <w:p w14:paraId="03CBC0A7" w14:textId="77777777" w:rsidR="00017C9C" w:rsidRPr="00F06E4E" w:rsidRDefault="00017C9C" w:rsidP="0054590F">
      <w:pPr>
        <w:rPr>
          <w:szCs w:val="24"/>
        </w:rPr>
      </w:pPr>
    </w:p>
    <w:p w14:paraId="211340B3" w14:textId="46977CA7" w:rsidR="00333FAA" w:rsidRDefault="00333FAA" w:rsidP="004D68EA">
      <w:pPr>
        <w:pStyle w:val="Heading4"/>
        <w:numPr>
          <w:ilvl w:val="2"/>
          <w:numId w:val="14"/>
        </w:numPr>
        <w:rPr>
          <w:szCs w:val="24"/>
        </w:rPr>
      </w:pPr>
      <w:r w:rsidRPr="00EF4645">
        <w:rPr>
          <w:szCs w:val="24"/>
        </w:rPr>
        <w:t>Staffing/workforce</w:t>
      </w:r>
      <w:r w:rsidR="0005392D" w:rsidRPr="00EF4645">
        <w:rPr>
          <w:szCs w:val="24"/>
        </w:rPr>
        <w:t>:</w:t>
      </w:r>
    </w:p>
    <w:p w14:paraId="647DBBB8" w14:textId="77777777" w:rsidR="004D68EA" w:rsidRPr="004D68EA" w:rsidRDefault="004D68EA" w:rsidP="004D68EA">
      <w:pPr>
        <w:pStyle w:val="ListParagraph"/>
      </w:pPr>
    </w:p>
    <w:p w14:paraId="2813EE19" w14:textId="2941641F" w:rsidR="0029343F" w:rsidRDefault="0029343F" w:rsidP="004D68EA">
      <w:pPr>
        <w:jc w:val="both"/>
      </w:pPr>
      <w:r>
        <w:t xml:space="preserve">Pre-contract: The enabling works for this contract </w:t>
      </w:r>
      <w:r w:rsidR="00426661">
        <w:t>i.e.</w:t>
      </w:r>
      <w:r>
        <w:t xml:space="preserve"> asbestos surveys, Landlords electrical supplies upgrade</w:t>
      </w:r>
      <w:r w:rsidR="003A6FE2">
        <w:t>s</w:t>
      </w:r>
      <w:r>
        <w:t xml:space="preserve"> and</w:t>
      </w:r>
      <w:r w:rsidR="003A6FE2">
        <w:t xml:space="preserve"> utilities</w:t>
      </w:r>
      <w:r>
        <w:t xml:space="preserve"> works is </w:t>
      </w:r>
      <w:r w:rsidR="00D57E39">
        <w:t>7</w:t>
      </w:r>
      <w:r w:rsidR="00017C9C">
        <w:t>5</w:t>
      </w:r>
      <w:r w:rsidR="00D57E39">
        <w:t>%</w:t>
      </w:r>
      <w:r>
        <w:t xml:space="preserve"> completed for the 6</w:t>
      </w:r>
      <w:r w:rsidR="00017C9C">
        <w:t>5</w:t>
      </w:r>
      <w:r>
        <w:t xml:space="preserve"> blocks</w:t>
      </w:r>
      <w:r w:rsidR="00E714BE">
        <w:t>.</w:t>
      </w:r>
      <w:r w:rsidR="00A57B47" w:rsidRPr="00A57B47">
        <w:t xml:space="preserve"> </w:t>
      </w:r>
      <w:r w:rsidR="00A57B47">
        <w:t>The in-house Project Manager will manage the</w:t>
      </w:r>
      <w:r w:rsidR="003A6FE2">
        <w:t>se</w:t>
      </w:r>
      <w:r w:rsidR="00A57B47">
        <w:t xml:space="preserve"> </w:t>
      </w:r>
      <w:r w:rsidR="003A6FE2">
        <w:t xml:space="preserve">until </w:t>
      </w:r>
      <w:r w:rsidR="00A57B47">
        <w:t>completion</w:t>
      </w:r>
      <w:r>
        <w:t>.</w:t>
      </w:r>
    </w:p>
    <w:p w14:paraId="1FA1ECFB" w14:textId="77777777" w:rsidR="0029343F" w:rsidRDefault="0029343F" w:rsidP="004D68EA">
      <w:pPr>
        <w:ind w:left="720" w:hanging="720"/>
        <w:jc w:val="both"/>
      </w:pPr>
    </w:p>
    <w:p w14:paraId="220D1FFE" w14:textId="23D56D8C" w:rsidR="0029343F" w:rsidRDefault="00900904" w:rsidP="004D68EA">
      <w:pPr>
        <w:jc w:val="both"/>
      </w:pPr>
      <w:r>
        <w:t xml:space="preserve">Main Contract: </w:t>
      </w:r>
      <w:r w:rsidR="0029343F">
        <w:t xml:space="preserve">The in-house Project Manager will manage all the stages within the procurement cycle (including Leaseholders statutory notification) to ensure a quality product is delivered. </w:t>
      </w:r>
    </w:p>
    <w:p w14:paraId="6C911FB3" w14:textId="77777777" w:rsidR="0029343F" w:rsidRDefault="0029343F" w:rsidP="004D68EA">
      <w:pPr>
        <w:ind w:left="720" w:hanging="720"/>
        <w:jc w:val="both"/>
      </w:pPr>
    </w:p>
    <w:p w14:paraId="1679FA5C" w14:textId="4D41A7C8" w:rsidR="0029343F" w:rsidRDefault="0029343F" w:rsidP="004D68EA">
      <w:pPr>
        <w:jc w:val="both"/>
      </w:pPr>
      <w:r>
        <w:t>Post Contract: The Project Manager will manage the Clerk of Works and other agencies to ensure delivery to programme and quality of installed product and will resolve any issues that could occur as they arise.</w:t>
      </w:r>
      <w:r w:rsidR="00CC6F37">
        <w:t xml:space="preserve"> Prior to the start of the project the Council’s </w:t>
      </w:r>
      <w:r w:rsidR="004E1796">
        <w:t>fire audit tool will be will completed with the scope of works and signed off by a qualified Fire Risk assessor.</w:t>
      </w:r>
    </w:p>
    <w:p w14:paraId="6ACE9505" w14:textId="1237DA34" w:rsidR="004E1796" w:rsidRDefault="004E1796" w:rsidP="004D68EA">
      <w:pPr>
        <w:jc w:val="both"/>
      </w:pPr>
    </w:p>
    <w:p w14:paraId="659928C1" w14:textId="484A64AA" w:rsidR="00961278" w:rsidRPr="004D68EA" w:rsidRDefault="00307F76" w:rsidP="004D68EA">
      <w:pPr>
        <w:pStyle w:val="ListParagraph"/>
        <w:numPr>
          <w:ilvl w:val="1"/>
          <w:numId w:val="14"/>
        </w:numPr>
        <w:spacing w:before="240"/>
        <w:rPr>
          <w:b/>
          <w:szCs w:val="24"/>
        </w:rPr>
      </w:pPr>
      <w:r w:rsidRPr="004D68EA">
        <w:rPr>
          <w:b/>
          <w:szCs w:val="24"/>
        </w:rPr>
        <w:t xml:space="preserve">Ward Councillors’ </w:t>
      </w:r>
      <w:r w:rsidR="001A4814" w:rsidRPr="004D68EA">
        <w:rPr>
          <w:b/>
          <w:szCs w:val="24"/>
        </w:rPr>
        <w:t>C</w:t>
      </w:r>
      <w:r w:rsidRPr="004D68EA">
        <w:rPr>
          <w:b/>
          <w:szCs w:val="24"/>
        </w:rPr>
        <w:t xml:space="preserve">omments </w:t>
      </w:r>
    </w:p>
    <w:p w14:paraId="30F01911" w14:textId="247C4952" w:rsidR="00961278" w:rsidRDefault="00961278" w:rsidP="004D68EA">
      <w:pPr>
        <w:ind w:left="720" w:hanging="720"/>
        <w:jc w:val="both"/>
      </w:pPr>
    </w:p>
    <w:p w14:paraId="165E33DB" w14:textId="379D9083" w:rsidR="00825210" w:rsidRDefault="00825210" w:rsidP="00825210">
      <w:pPr>
        <w:rPr>
          <w:rFonts w:ascii="Calibri" w:hAnsi="Calibri"/>
          <w:sz w:val="22"/>
        </w:rPr>
      </w:pPr>
      <w:r>
        <w:t>We will have an active consultation programme with all councillors generally but specifically councillors where works are taking place within their wards to provide information and inform on the delivery of the programme.</w:t>
      </w:r>
    </w:p>
    <w:p w14:paraId="18422552" w14:textId="77777777" w:rsidR="00825210" w:rsidRDefault="00825210" w:rsidP="004D68EA">
      <w:pPr>
        <w:ind w:left="720" w:hanging="720"/>
        <w:jc w:val="both"/>
      </w:pPr>
    </w:p>
    <w:p w14:paraId="05FE6CA2" w14:textId="51CCE70E" w:rsidR="00961278" w:rsidRDefault="00961278" w:rsidP="004D68EA">
      <w:pPr>
        <w:jc w:val="both"/>
      </w:pPr>
      <w:r>
        <w:t xml:space="preserve">This </w:t>
      </w:r>
      <w:r w:rsidR="00D7532A">
        <w:t>Programme</w:t>
      </w:r>
      <w:r>
        <w:t xml:space="preserve"> will be discussed with the Portfolio Holder for Housing,</w:t>
      </w:r>
      <w:r w:rsidR="00BE3B4D">
        <w:t xml:space="preserve"> and the Portfolio holder for Finance &amp; Resources</w:t>
      </w:r>
      <w:r w:rsidR="00C13238" w:rsidRPr="00C13238">
        <w:t>. T</w:t>
      </w:r>
      <w:r w:rsidRPr="00C13238">
        <w:t xml:space="preserve">he </w:t>
      </w:r>
      <w:r w:rsidR="00285B1E">
        <w:t>Programme</w:t>
      </w:r>
      <w:r>
        <w:t xml:space="preserve"> </w:t>
      </w:r>
      <w:r w:rsidR="004801E7">
        <w:t xml:space="preserve">is </w:t>
      </w:r>
      <w:r w:rsidR="00BE3B4D">
        <w:t>boroughwide, and information</w:t>
      </w:r>
      <w:r>
        <w:t xml:space="preserve"> will be made available to all members via the reports that are discussed at H&amp;S board.</w:t>
      </w:r>
    </w:p>
    <w:p w14:paraId="0C9A32F6" w14:textId="77777777" w:rsidR="00961278" w:rsidRDefault="00961278" w:rsidP="004D68EA">
      <w:pPr>
        <w:ind w:left="720" w:hanging="720"/>
        <w:jc w:val="both"/>
      </w:pPr>
    </w:p>
    <w:p w14:paraId="173AE246" w14:textId="63F41E53" w:rsidR="00CB533F" w:rsidRDefault="00961278" w:rsidP="004D68EA">
      <w:pPr>
        <w:jc w:val="both"/>
      </w:pPr>
      <w:r w:rsidRPr="00474534">
        <w:t xml:space="preserve">In addition, resident consultation will take place, as the </w:t>
      </w:r>
      <w:r w:rsidR="00285B1E">
        <w:t>Programme</w:t>
      </w:r>
      <w:r w:rsidRPr="00474534">
        <w:t xml:space="preserve"> evolves </w:t>
      </w:r>
      <w:r w:rsidR="00426661" w:rsidRPr="00474534">
        <w:t xml:space="preserve">ahead of the start of site works which is to be issued based on previous Cabinet authority. Consultation includes </w:t>
      </w:r>
      <w:r w:rsidRPr="00474534">
        <w:t xml:space="preserve">statutory </w:t>
      </w:r>
      <w:r w:rsidR="00426661" w:rsidRPr="00474534">
        <w:t xml:space="preserve">Section 20 </w:t>
      </w:r>
      <w:r w:rsidR="00B27B93">
        <w:t xml:space="preserve">leaseholder </w:t>
      </w:r>
      <w:r w:rsidRPr="00474534">
        <w:t>consultation in relation to Leaseholders</w:t>
      </w:r>
      <w:r w:rsidR="00426661" w:rsidRPr="00474534">
        <w:t>.</w:t>
      </w:r>
      <w:r w:rsidRPr="00474534">
        <w:t xml:space="preserve"> </w:t>
      </w:r>
      <w:r w:rsidR="00426661" w:rsidRPr="00474534">
        <w:t>Resident consultation will be held at intervals with surgeries as the programme extends across the borough</w:t>
      </w:r>
      <w:r w:rsidR="00426661">
        <w:t>.</w:t>
      </w:r>
    </w:p>
    <w:p w14:paraId="46F07B30" w14:textId="77777777" w:rsidR="00955421" w:rsidRPr="00307F76" w:rsidRDefault="00955421" w:rsidP="0054590F">
      <w:pPr>
        <w:rPr>
          <w:b/>
        </w:rPr>
      </w:pPr>
    </w:p>
    <w:p w14:paraId="12B2B7E2" w14:textId="000BF75A" w:rsidR="00333FAA" w:rsidRDefault="00333FAA" w:rsidP="004D68EA">
      <w:pPr>
        <w:pStyle w:val="Heading4"/>
        <w:numPr>
          <w:ilvl w:val="1"/>
          <w:numId w:val="14"/>
        </w:numPr>
        <w:tabs>
          <w:tab w:val="left" w:pos="3600"/>
        </w:tabs>
        <w:rPr>
          <w:szCs w:val="24"/>
        </w:rPr>
      </w:pPr>
      <w:r w:rsidRPr="00C918D7">
        <w:rPr>
          <w:szCs w:val="24"/>
        </w:rPr>
        <w:t>Performance Issues</w:t>
      </w:r>
    </w:p>
    <w:p w14:paraId="052F3B8B" w14:textId="77777777" w:rsidR="004D68EA" w:rsidRPr="004D68EA" w:rsidRDefault="004D68EA" w:rsidP="004D68EA">
      <w:pPr>
        <w:pStyle w:val="ListParagraph"/>
        <w:ind w:left="540"/>
      </w:pPr>
    </w:p>
    <w:p w14:paraId="39864CC3" w14:textId="00CB80B7" w:rsidR="00270063" w:rsidRPr="00000C95" w:rsidRDefault="00270063" w:rsidP="004D68EA">
      <w:pPr>
        <w:tabs>
          <w:tab w:val="left" w:pos="7245"/>
        </w:tabs>
        <w:jc w:val="both"/>
      </w:pPr>
      <w:r w:rsidRPr="00B60DF5">
        <w:t xml:space="preserve">The </w:t>
      </w:r>
      <w:r>
        <w:t>successful</w:t>
      </w:r>
      <w:r w:rsidRPr="00B60DF5">
        <w:t xml:space="preserve"> contractor will be managed </w:t>
      </w:r>
      <w:r>
        <w:t xml:space="preserve">effectively </w:t>
      </w:r>
      <w:r w:rsidRPr="00B60DF5">
        <w:t>from mobilisation</w:t>
      </w:r>
      <w:r w:rsidR="00545F8C">
        <w:t>.</w:t>
      </w:r>
      <w:r>
        <w:t xml:space="preserve"> </w:t>
      </w:r>
      <w:r w:rsidR="00545F8C">
        <w:t>P</w:t>
      </w:r>
      <w:r w:rsidRPr="00B60DF5">
        <w:t>erformance</w:t>
      </w:r>
      <w:r w:rsidRPr="00463799">
        <w:t xml:space="preserve"> </w:t>
      </w:r>
      <w:r w:rsidRPr="00122485">
        <w:t>statistics will be reviewed monthly and monitored</w:t>
      </w:r>
      <w:r>
        <w:t xml:space="preserve"> through a combination of regular site visits and formal meetings, together with monthly evaluations identifying </w:t>
      </w:r>
      <w:r w:rsidR="004E595C">
        <w:t xml:space="preserve">financial </w:t>
      </w:r>
      <w:r>
        <w:t xml:space="preserve">and quantity delivery.  </w:t>
      </w:r>
      <w:r w:rsidR="004E595C">
        <w:t>Project Management Meetings also take place every month to monitor and manage delivery.</w:t>
      </w:r>
      <w:r w:rsidR="00831FD0">
        <w:t xml:space="preserve"> </w:t>
      </w:r>
      <w:r>
        <w:t xml:space="preserve">This data is also reported to Corporate Director level via the </w:t>
      </w:r>
      <w:r w:rsidRPr="00000C95">
        <w:t xml:space="preserve">Corporate Project Monitoring </w:t>
      </w:r>
      <w:r>
        <w:t xml:space="preserve">process so that there is a wider awareness of the </w:t>
      </w:r>
      <w:r w:rsidR="00C052B0">
        <w:t>Programme</w:t>
      </w:r>
      <w:r>
        <w:t xml:space="preserve"> status at any given time. </w:t>
      </w:r>
    </w:p>
    <w:p w14:paraId="703B9E31" w14:textId="77777777" w:rsidR="00270063" w:rsidRDefault="00270063" w:rsidP="004D68EA">
      <w:pPr>
        <w:tabs>
          <w:tab w:val="left" w:pos="7245"/>
        </w:tabs>
        <w:jc w:val="both"/>
        <w:rPr>
          <w:rFonts w:cs="Arial"/>
        </w:rPr>
      </w:pPr>
    </w:p>
    <w:p w14:paraId="3A30B756" w14:textId="4B5D316A" w:rsidR="00270063" w:rsidRPr="001633A4" w:rsidRDefault="00270063" w:rsidP="004D68EA">
      <w:pPr>
        <w:tabs>
          <w:tab w:val="left" w:pos="7245"/>
        </w:tabs>
        <w:jc w:val="both"/>
        <w:rPr>
          <w:rFonts w:cs="Arial"/>
        </w:rPr>
      </w:pPr>
      <w:r>
        <w:rPr>
          <w:rFonts w:cs="Arial"/>
        </w:rPr>
        <w:t xml:space="preserve">The Contract will provide 12-months </w:t>
      </w:r>
      <w:bookmarkStart w:id="2" w:name="_Hlk84238686"/>
      <w:r>
        <w:rPr>
          <w:rFonts w:cs="Arial"/>
        </w:rPr>
        <w:t>Defects Liability Period</w:t>
      </w:r>
      <w:r w:rsidR="00582E38">
        <w:rPr>
          <w:rFonts w:cs="Arial"/>
        </w:rPr>
        <w:t xml:space="preserve"> </w:t>
      </w:r>
      <w:bookmarkEnd w:id="2"/>
      <w:r w:rsidR="00582E38">
        <w:rPr>
          <w:rFonts w:cs="Arial"/>
        </w:rPr>
        <w:t>from date of installation</w:t>
      </w:r>
      <w:r>
        <w:rPr>
          <w:rFonts w:cs="Arial"/>
        </w:rPr>
        <w:t xml:space="preserve">.  The emergency Lighting </w:t>
      </w:r>
      <w:r w:rsidRPr="00BE4EA4">
        <w:rPr>
          <w:rFonts w:cs="Arial"/>
        </w:rPr>
        <w:t xml:space="preserve">to block Common Parts areas will be covered by warranty for the first 5-years (4 additional </w:t>
      </w:r>
      <w:r w:rsidR="00865E81" w:rsidRPr="00BE4EA4">
        <w:rPr>
          <w:rFonts w:cs="Arial"/>
        </w:rPr>
        <w:t xml:space="preserve">years </w:t>
      </w:r>
      <w:r w:rsidR="00865E81">
        <w:rPr>
          <w:rFonts w:cs="Arial"/>
        </w:rPr>
        <w:t>after</w:t>
      </w:r>
      <w:r>
        <w:rPr>
          <w:rFonts w:cs="Arial"/>
        </w:rPr>
        <w:t xml:space="preserve"> </w:t>
      </w:r>
      <w:r w:rsidR="00C052B0">
        <w:rPr>
          <w:rFonts w:cs="Arial"/>
        </w:rPr>
        <w:t xml:space="preserve">the expiration of the </w:t>
      </w:r>
      <w:r w:rsidR="00C052B0" w:rsidRPr="00C052B0">
        <w:rPr>
          <w:rFonts w:cs="Arial"/>
        </w:rPr>
        <w:t xml:space="preserve">Defects Liability </w:t>
      </w:r>
      <w:r w:rsidR="00865E81" w:rsidRPr="00C052B0">
        <w:rPr>
          <w:rFonts w:cs="Arial"/>
        </w:rPr>
        <w:t>Period)</w:t>
      </w:r>
      <w:r w:rsidRPr="00BE4EA4">
        <w:rPr>
          <w:rFonts w:cs="Arial"/>
        </w:rPr>
        <w:t xml:space="preserve">. The manufacturer will need to be added to the Response Maintenance </w:t>
      </w:r>
      <w:r>
        <w:rPr>
          <w:rFonts w:cs="Arial"/>
        </w:rPr>
        <w:t>approved contractor list to carry out non-</w:t>
      </w:r>
      <w:r w:rsidRPr="00BE4EA4">
        <w:rPr>
          <w:rFonts w:cs="Arial"/>
        </w:rPr>
        <w:t xml:space="preserve">warranty works. </w:t>
      </w:r>
      <w:r w:rsidR="004E595C">
        <w:rPr>
          <w:rFonts w:cs="Arial"/>
        </w:rPr>
        <w:t>This will then form part of our ongoing maintenance programme</w:t>
      </w:r>
      <w:r w:rsidRPr="00BE4EA4">
        <w:rPr>
          <w:rFonts w:cs="Arial"/>
        </w:rPr>
        <w:t xml:space="preserve">. The emergency Lighting Systems will be </w:t>
      </w:r>
      <w:r w:rsidR="00CC5CCF">
        <w:rPr>
          <w:rFonts w:cs="Arial"/>
        </w:rPr>
        <w:t xml:space="preserve">Smart </w:t>
      </w:r>
      <w:r w:rsidRPr="00BE4EA4">
        <w:rPr>
          <w:rFonts w:cs="Arial"/>
        </w:rPr>
        <w:t>Cloud based enabling remote analysis of the installations</w:t>
      </w:r>
      <w:r>
        <w:rPr>
          <w:rFonts w:cs="Arial"/>
        </w:rPr>
        <w:t xml:space="preserve">. </w:t>
      </w:r>
      <w:r w:rsidRPr="00BE4EA4">
        <w:rPr>
          <w:rFonts w:cs="Arial"/>
        </w:rPr>
        <w:t xml:space="preserve">The systems will monitor </w:t>
      </w:r>
      <w:r w:rsidR="00CC5CCF">
        <w:rPr>
          <w:rFonts w:cs="Arial"/>
        </w:rPr>
        <w:t xml:space="preserve">the lighting systems </w:t>
      </w:r>
      <w:r w:rsidRPr="00BE4EA4">
        <w:rPr>
          <w:rFonts w:cs="Arial"/>
        </w:rPr>
        <w:t xml:space="preserve">to the British Standard </w:t>
      </w:r>
      <w:r>
        <w:rPr>
          <w:rFonts w:cs="Arial"/>
        </w:rPr>
        <w:t>t</w:t>
      </w:r>
      <w:r w:rsidRPr="00BE4EA4">
        <w:rPr>
          <w:rFonts w:cs="Arial"/>
        </w:rPr>
        <w:t>esting regimes and report outcomes on a monthly and annual basis thus largely negating staff and contractor input and site attendance to drive down ongoing cyclical maintenance costs.</w:t>
      </w:r>
    </w:p>
    <w:p w14:paraId="79F629B1" w14:textId="77777777" w:rsidR="00270063" w:rsidRPr="00BE4EA4" w:rsidRDefault="00270063" w:rsidP="004D68EA">
      <w:pPr>
        <w:tabs>
          <w:tab w:val="left" w:pos="7245"/>
        </w:tabs>
        <w:jc w:val="both"/>
        <w:rPr>
          <w:rFonts w:cs="Arial"/>
        </w:rPr>
      </w:pPr>
    </w:p>
    <w:p w14:paraId="73AA6821" w14:textId="44E72103" w:rsidR="00270063" w:rsidRPr="00BE4EA4" w:rsidRDefault="00270063" w:rsidP="004D68EA">
      <w:pPr>
        <w:tabs>
          <w:tab w:val="left" w:pos="7245"/>
        </w:tabs>
        <w:jc w:val="both"/>
        <w:rPr>
          <w:rFonts w:cs="Arial"/>
        </w:rPr>
      </w:pPr>
      <w:r w:rsidRPr="00BE4EA4">
        <w:rPr>
          <w:rFonts w:cs="Arial"/>
        </w:rPr>
        <w:t>Alarm detection D1 LD2</w:t>
      </w:r>
      <w:r w:rsidRPr="00BE4EA4">
        <w:rPr>
          <w:rFonts w:cs="Arial"/>
          <w:vertAlign w:val="superscript"/>
        </w:rPr>
        <w:t>D</w:t>
      </w:r>
      <w:r w:rsidRPr="00BE4EA4">
        <w:rPr>
          <w:rFonts w:cs="Arial"/>
        </w:rPr>
        <w:t xml:space="preserve"> systems </w:t>
      </w:r>
      <w:r>
        <w:rPr>
          <w:rFonts w:cs="Arial"/>
        </w:rPr>
        <w:t xml:space="preserve">and CO detection </w:t>
      </w:r>
      <w:r w:rsidR="00AE5998">
        <w:rPr>
          <w:rFonts w:cs="Arial"/>
        </w:rPr>
        <w:t xml:space="preserve">is </w:t>
      </w:r>
      <w:r w:rsidRPr="00BE4EA4">
        <w:rPr>
          <w:rFonts w:cs="Arial"/>
        </w:rPr>
        <w:t xml:space="preserve">the new installation </w:t>
      </w:r>
      <w:r>
        <w:rPr>
          <w:rFonts w:cs="Arial"/>
        </w:rPr>
        <w:t xml:space="preserve">standard </w:t>
      </w:r>
      <w:r w:rsidRPr="00BE4EA4">
        <w:rPr>
          <w:rFonts w:cs="Arial"/>
        </w:rPr>
        <w:t xml:space="preserve">to all housing </w:t>
      </w:r>
      <w:r w:rsidR="00AE5998">
        <w:rPr>
          <w:rFonts w:cs="Arial"/>
        </w:rPr>
        <w:t>s</w:t>
      </w:r>
      <w:r w:rsidRPr="00BE4EA4">
        <w:rPr>
          <w:rFonts w:cs="Arial"/>
        </w:rPr>
        <w:t>tock</w:t>
      </w:r>
      <w:r w:rsidR="004E595C">
        <w:rPr>
          <w:rFonts w:cs="Arial"/>
        </w:rPr>
        <w:t>.</w:t>
      </w:r>
      <w:r w:rsidRPr="00BE4EA4">
        <w:rPr>
          <w:rFonts w:cs="Arial"/>
        </w:rPr>
        <w:t xml:space="preserve"> </w:t>
      </w:r>
      <w:r w:rsidR="004E595C">
        <w:rPr>
          <w:rFonts w:cs="Arial"/>
        </w:rPr>
        <w:t>T</w:t>
      </w:r>
      <w:r w:rsidRPr="00BE4EA4">
        <w:rPr>
          <w:rFonts w:cs="Arial"/>
        </w:rPr>
        <w:t xml:space="preserve">hese installations will be monitored via the Cloud </w:t>
      </w:r>
      <w:r>
        <w:rPr>
          <w:rFonts w:cs="Arial"/>
        </w:rPr>
        <w:t>allowing dynamic remote interrogation/reporting</w:t>
      </w:r>
      <w:r w:rsidRPr="00BE4EA4">
        <w:rPr>
          <w:rFonts w:cs="Arial"/>
        </w:rPr>
        <w:t xml:space="preserve"> and </w:t>
      </w:r>
      <w:r w:rsidR="00A16170" w:rsidRPr="00BE4EA4">
        <w:rPr>
          <w:rFonts w:cs="Arial"/>
        </w:rPr>
        <w:t>real-time</w:t>
      </w:r>
      <w:r w:rsidRPr="00BE4EA4">
        <w:rPr>
          <w:rFonts w:cs="Arial"/>
        </w:rPr>
        <w:t xml:space="preserve"> monitoring of </w:t>
      </w:r>
      <w:r>
        <w:rPr>
          <w:rFonts w:cs="Arial"/>
        </w:rPr>
        <w:t xml:space="preserve">tampering, </w:t>
      </w:r>
      <w:r w:rsidRPr="00BE4EA4">
        <w:rPr>
          <w:rFonts w:cs="Arial"/>
        </w:rPr>
        <w:t>defaults</w:t>
      </w:r>
      <w:r>
        <w:rPr>
          <w:rFonts w:cs="Arial"/>
        </w:rPr>
        <w:t xml:space="preserve">, </w:t>
      </w:r>
      <w:r w:rsidRPr="00BE4EA4">
        <w:rPr>
          <w:rFonts w:cs="Arial"/>
        </w:rPr>
        <w:t>and emerge</w:t>
      </w:r>
      <w:r>
        <w:rPr>
          <w:rFonts w:cs="Arial"/>
        </w:rPr>
        <w:t xml:space="preserve">ncy alerts. </w:t>
      </w:r>
    </w:p>
    <w:p w14:paraId="6B69AB81" w14:textId="77777777" w:rsidR="00270063" w:rsidRPr="00BE4EA4" w:rsidRDefault="00270063" w:rsidP="004D68EA">
      <w:pPr>
        <w:tabs>
          <w:tab w:val="left" w:pos="7245"/>
        </w:tabs>
        <w:jc w:val="both"/>
        <w:rPr>
          <w:rFonts w:cs="Arial"/>
        </w:rPr>
      </w:pPr>
    </w:p>
    <w:p w14:paraId="4FE554E5" w14:textId="0D1666C8" w:rsidR="00270063" w:rsidRPr="00BE4EA4" w:rsidRDefault="00270063" w:rsidP="004D68EA">
      <w:pPr>
        <w:tabs>
          <w:tab w:val="left" w:pos="7245"/>
        </w:tabs>
        <w:jc w:val="both"/>
        <w:rPr>
          <w:rFonts w:cs="Arial"/>
        </w:rPr>
      </w:pPr>
      <w:r w:rsidRPr="00BE4EA4">
        <w:rPr>
          <w:rFonts w:cs="Arial"/>
        </w:rPr>
        <w:t xml:space="preserve">The video </w:t>
      </w:r>
      <w:r w:rsidR="008F25B8">
        <w:rPr>
          <w:rFonts w:cs="Arial"/>
        </w:rPr>
        <w:t>d</w:t>
      </w:r>
      <w:r w:rsidRPr="00BE4EA4">
        <w:rPr>
          <w:rFonts w:cs="Arial"/>
        </w:rPr>
        <w:t xml:space="preserve">oor entry security will also be </w:t>
      </w:r>
      <w:r w:rsidR="00D40E01">
        <w:rPr>
          <w:rFonts w:cs="Arial"/>
        </w:rPr>
        <w:t>cl</w:t>
      </w:r>
      <w:r w:rsidRPr="00BE4EA4">
        <w:rPr>
          <w:rFonts w:cs="Arial"/>
        </w:rPr>
        <w:t>oud based enabling remote programming of key fobs to assist in controlling block security</w:t>
      </w:r>
      <w:r>
        <w:rPr>
          <w:rFonts w:cs="Arial"/>
        </w:rPr>
        <w:t xml:space="preserve"> thus</w:t>
      </w:r>
      <w:r w:rsidRPr="00BE4EA4">
        <w:rPr>
          <w:rFonts w:cs="Arial"/>
        </w:rPr>
        <w:t xml:space="preserve"> reducing the risks of fobs entering circulation to non-residents and gangs.</w:t>
      </w:r>
    </w:p>
    <w:p w14:paraId="2BF6B7B9" w14:textId="77777777" w:rsidR="00270063" w:rsidRPr="00BE4EA4" w:rsidRDefault="00270063" w:rsidP="004D68EA">
      <w:pPr>
        <w:tabs>
          <w:tab w:val="left" w:pos="7245"/>
        </w:tabs>
        <w:jc w:val="both"/>
        <w:rPr>
          <w:rFonts w:cs="Arial"/>
        </w:rPr>
      </w:pPr>
    </w:p>
    <w:p w14:paraId="32F30894" w14:textId="7737D688" w:rsidR="00270063" w:rsidRPr="00BE4EA4" w:rsidRDefault="00270063" w:rsidP="004D68EA">
      <w:pPr>
        <w:tabs>
          <w:tab w:val="left" w:pos="7245"/>
        </w:tabs>
        <w:jc w:val="both"/>
        <w:rPr>
          <w:rFonts w:cs="Arial"/>
        </w:rPr>
      </w:pPr>
      <w:r w:rsidRPr="00BE4EA4">
        <w:rPr>
          <w:rFonts w:cs="Arial"/>
        </w:rPr>
        <w:t xml:space="preserve">All the above </w:t>
      </w:r>
      <w:r w:rsidR="00D47471">
        <w:rPr>
          <w:rFonts w:cs="Arial"/>
        </w:rPr>
        <w:t>c</w:t>
      </w:r>
      <w:r w:rsidR="00D47471" w:rsidRPr="00BE4EA4">
        <w:rPr>
          <w:rFonts w:cs="Arial"/>
        </w:rPr>
        <w:t>loud-based</w:t>
      </w:r>
      <w:r>
        <w:rPr>
          <w:rFonts w:cs="Arial"/>
        </w:rPr>
        <w:t xml:space="preserve"> safety </w:t>
      </w:r>
      <w:r w:rsidRPr="00BE4EA4">
        <w:rPr>
          <w:rFonts w:cs="Arial"/>
        </w:rPr>
        <w:t>systems will reduce reactive maintenance resourcing</w:t>
      </w:r>
      <w:r>
        <w:rPr>
          <w:rFonts w:cs="Arial"/>
        </w:rPr>
        <w:t xml:space="preserve">, </w:t>
      </w:r>
      <w:r w:rsidRPr="00BE4EA4">
        <w:rPr>
          <w:rFonts w:cs="Arial"/>
        </w:rPr>
        <w:t xml:space="preserve">resulting from </w:t>
      </w:r>
      <w:r>
        <w:rPr>
          <w:rFonts w:cs="Arial"/>
        </w:rPr>
        <w:t xml:space="preserve">lower </w:t>
      </w:r>
      <w:r w:rsidRPr="00BE4EA4">
        <w:rPr>
          <w:rFonts w:cs="Arial"/>
        </w:rPr>
        <w:t>contractor attendance and staff time</w:t>
      </w:r>
      <w:r>
        <w:rPr>
          <w:rFonts w:cs="Arial"/>
        </w:rPr>
        <w:t>/salary</w:t>
      </w:r>
      <w:r w:rsidRPr="00BE4EA4">
        <w:rPr>
          <w:rFonts w:cs="Arial"/>
        </w:rPr>
        <w:t xml:space="preserve"> costs.</w:t>
      </w:r>
    </w:p>
    <w:p w14:paraId="309CDD79" w14:textId="77777777" w:rsidR="00270063" w:rsidRPr="00BE4EA4" w:rsidRDefault="00270063" w:rsidP="004D68EA">
      <w:pPr>
        <w:tabs>
          <w:tab w:val="left" w:pos="7245"/>
        </w:tabs>
        <w:jc w:val="both"/>
      </w:pPr>
      <w:r w:rsidRPr="00BE4EA4">
        <w:rPr>
          <w:rFonts w:cs="Arial"/>
        </w:rPr>
        <w:t xml:space="preserve"> </w:t>
      </w:r>
    </w:p>
    <w:p w14:paraId="0CE93E48" w14:textId="77777777" w:rsidR="00270063" w:rsidRDefault="00270063" w:rsidP="004D68EA">
      <w:pPr>
        <w:tabs>
          <w:tab w:val="left" w:pos="7245"/>
        </w:tabs>
        <w:jc w:val="both"/>
      </w:pPr>
      <w:r>
        <w:t>In addition, we intend to form monthly project groups, inviting residents and members to support the management and monitoring of these schemes throughout their implementation virtually.</w:t>
      </w:r>
    </w:p>
    <w:p w14:paraId="7E0AB013" w14:textId="77777777" w:rsidR="00C918D7" w:rsidRPr="00C918D7" w:rsidRDefault="00C918D7" w:rsidP="00C918D7"/>
    <w:p w14:paraId="0D78E7BB" w14:textId="39230516" w:rsidR="00B1160D" w:rsidRPr="00C918D7" w:rsidRDefault="00566BAE" w:rsidP="00341B99">
      <w:pPr>
        <w:pStyle w:val="Heading4"/>
        <w:rPr>
          <w:szCs w:val="24"/>
        </w:rPr>
      </w:pPr>
      <w:r>
        <w:rPr>
          <w:szCs w:val="24"/>
        </w:rPr>
        <w:t>2.6</w:t>
      </w:r>
      <w:r w:rsidR="00286662">
        <w:rPr>
          <w:szCs w:val="24"/>
        </w:rPr>
        <w:t xml:space="preserve"> </w:t>
      </w:r>
      <w:r w:rsidR="00333FAA" w:rsidRPr="00C918D7">
        <w:rPr>
          <w:szCs w:val="24"/>
        </w:rPr>
        <w:t>Environmental Implications</w:t>
      </w:r>
    </w:p>
    <w:p w14:paraId="03EFC8C3" w14:textId="77777777" w:rsidR="008125D5" w:rsidRDefault="008125D5" w:rsidP="00330832">
      <w:pPr>
        <w:pStyle w:val="paragraph"/>
        <w:spacing w:before="0" w:beforeAutospacing="0" w:after="0" w:afterAutospacing="0"/>
        <w:textAlignment w:val="baseline"/>
        <w:rPr>
          <w:rFonts w:ascii="Segoe UI" w:hAnsi="Segoe UI" w:cs="Segoe UI"/>
          <w:sz w:val="18"/>
          <w:szCs w:val="18"/>
        </w:rPr>
      </w:pPr>
    </w:p>
    <w:p w14:paraId="1C443041" w14:textId="7FBA775F" w:rsidR="008125D5" w:rsidRPr="00DD457D" w:rsidRDefault="008125D5" w:rsidP="001358CF">
      <w:pPr>
        <w:jc w:val="both"/>
      </w:pPr>
      <w:r w:rsidRPr="00DD457D">
        <w:t>It is the intention that the delivery of any contract will contribute to the Council’s objectives around social, economic, and environmental sustainability. We want to do all we can to ensure that we support Harrow’s economy by buying locally wherever practical and maximise opportunities for local people in employment and training. The project will ensure that tenders provide detailed information about their contribution to the environment and sustainability.  We also require bidders to sign up to the Considerate Contractor Scheme</w:t>
      </w:r>
      <w:r>
        <w:t>.</w:t>
      </w:r>
    </w:p>
    <w:p w14:paraId="7EFBFDC9" w14:textId="77777777" w:rsidR="008125D5" w:rsidRPr="00C81367" w:rsidRDefault="008125D5" w:rsidP="001358CF">
      <w:pPr>
        <w:jc w:val="both"/>
        <w:rPr>
          <w:highlight w:val="cyan"/>
        </w:rPr>
      </w:pPr>
    </w:p>
    <w:p w14:paraId="2443FB00" w14:textId="6E1CC5ED" w:rsidR="008125D5" w:rsidRDefault="008125D5" w:rsidP="001358CF">
      <w:pPr>
        <w:jc w:val="both"/>
      </w:pPr>
      <w:r w:rsidRPr="00BE4EA4">
        <w:lastRenderedPageBreak/>
        <w:t xml:space="preserve">Specific requirements on social, economic, and environmental matters will vary according to the value and duration of each contract and </w:t>
      </w:r>
      <w:r w:rsidR="00731653">
        <w:t xml:space="preserve">will be </w:t>
      </w:r>
      <w:r w:rsidRPr="00BE4EA4">
        <w:t>part of the pre-tender procurement documentation for inclusion in the online tender portal.</w:t>
      </w:r>
    </w:p>
    <w:p w14:paraId="5F00EB51" w14:textId="77777777" w:rsidR="008125D5" w:rsidRDefault="008125D5" w:rsidP="001358CF">
      <w:pPr>
        <w:jc w:val="both"/>
      </w:pPr>
    </w:p>
    <w:p w14:paraId="725E999E" w14:textId="426CD4D2" w:rsidR="000929A6" w:rsidRPr="009B2A79" w:rsidRDefault="008125D5" w:rsidP="00793B29">
      <w:pPr>
        <w:jc w:val="both"/>
        <w:rPr>
          <w:b/>
          <w:iCs/>
        </w:rPr>
      </w:pPr>
      <w:r>
        <w:t xml:space="preserve"> </w:t>
      </w:r>
    </w:p>
    <w:p w14:paraId="161C1C32" w14:textId="42CFD065" w:rsidR="000929A6" w:rsidRDefault="002A3FEF" w:rsidP="00474534">
      <w:pPr>
        <w:pStyle w:val="Heading4"/>
        <w:numPr>
          <w:ilvl w:val="1"/>
          <w:numId w:val="14"/>
        </w:numPr>
        <w:rPr>
          <w:sz w:val="28"/>
          <w:szCs w:val="28"/>
        </w:rPr>
      </w:pPr>
      <w:r w:rsidRPr="00474534">
        <w:rPr>
          <w:sz w:val="28"/>
          <w:szCs w:val="28"/>
        </w:rPr>
        <w:t>Dat</w:t>
      </w:r>
      <w:r w:rsidR="00DE72CF" w:rsidRPr="00474534">
        <w:rPr>
          <w:sz w:val="28"/>
          <w:szCs w:val="28"/>
        </w:rPr>
        <w:t>a</w:t>
      </w:r>
      <w:r w:rsidRPr="00474534">
        <w:rPr>
          <w:sz w:val="28"/>
          <w:szCs w:val="28"/>
        </w:rPr>
        <w:t xml:space="preserve"> Protection Implications</w:t>
      </w:r>
    </w:p>
    <w:p w14:paraId="579B59F5" w14:textId="77777777" w:rsidR="008E0EFC" w:rsidRPr="00474534" w:rsidRDefault="008E0EFC" w:rsidP="00474534">
      <w:pPr>
        <w:pStyle w:val="ListParagraph"/>
        <w:ind w:left="540"/>
      </w:pPr>
    </w:p>
    <w:p w14:paraId="1DDE9B9C" w14:textId="35004D8A" w:rsidR="00473968" w:rsidRDefault="00473968" w:rsidP="002A3FEF">
      <w:r w:rsidRPr="00180061">
        <w:t>All personal data processed in connection with the contract will be carried out in full compliance with data protection laws including the Data Protection Act 2018 and GDPR</w:t>
      </w:r>
      <w:r w:rsidR="00A23F59">
        <w:t>, and the contract will contain appropriate data protection clauses</w:t>
      </w:r>
      <w:r w:rsidRPr="00180061">
        <w:t>.</w:t>
      </w:r>
    </w:p>
    <w:p w14:paraId="1BFC7067" w14:textId="67954FA5" w:rsidR="00922698" w:rsidRDefault="00007419" w:rsidP="00922698">
      <w:pPr>
        <w:pStyle w:val="Heading3"/>
        <w:spacing w:before="480" w:after="240"/>
      </w:pPr>
      <w:r>
        <w:t>2.8</w:t>
      </w:r>
      <w:r w:rsidR="001A69EF">
        <w:t xml:space="preserve"> </w:t>
      </w:r>
      <w:r w:rsidR="00922698">
        <w:t>Risk Management Implications</w:t>
      </w:r>
    </w:p>
    <w:p w14:paraId="3E70DD16" w14:textId="2B201B6B" w:rsidR="00922698" w:rsidRPr="001358CF" w:rsidRDefault="00CB7785" w:rsidP="00D47471">
      <w:pPr>
        <w:tabs>
          <w:tab w:val="left" w:pos="5610"/>
        </w:tabs>
        <w:ind w:right="81"/>
        <w:jc w:val="both"/>
      </w:pPr>
      <w:r>
        <w:t xml:space="preserve">2.8.1 </w:t>
      </w:r>
      <w:r w:rsidR="00922698" w:rsidRPr="00266D52">
        <w:t xml:space="preserve">Risk included on Directorate risk register?  </w:t>
      </w:r>
      <w:r w:rsidR="00922698" w:rsidRPr="00297385">
        <w:rPr>
          <w:b/>
          <w:bCs/>
        </w:rPr>
        <w:t>Yes</w:t>
      </w:r>
      <w:r w:rsidR="00922698" w:rsidRPr="00266D52">
        <w:t>,</w:t>
      </w:r>
    </w:p>
    <w:p w14:paraId="132BAD72" w14:textId="77777777" w:rsidR="00447F33" w:rsidRPr="00266D52" w:rsidRDefault="00447F33" w:rsidP="001358CF">
      <w:pPr>
        <w:tabs>
          <w:tab w:val="left" w:pos="5610"/>
        </w:tabs>
        <w:ind w:right="81"/>
        <w:jc w:val="both"/>
      </w:pPr>
    </w:p>
    <w:p w14:paraId="0F6074CF" w14:textId="58D94DF6" w:rsidR="00922698" w:rsidRDefault="00CB7785" w:rsidP="001358CF">
      <w:pPr>
        <w:ind w:right="141"/>
        <w:jc w:val="both"/>
      </w:pPr>
      <w:r>
        <w:t>2.</w:t>
      </w:r>
      <w:r w:rsidR="00AD4B25">
        <w:t>8.2</w:t>
      </w:r>
      <w:r w:rsidR="00F7326D">
        <w:t xml:space="preserve"> </w:t>
      </w:r>
      <w:r w:rsidR="00922698" w:rsidRPr="00266D52">
        <w:t xml:space="preserve">Separate risk register in place? </w:t>
      </w:r>
      <w:r w:rsidR="00922698" w:rsidRPr="00297385">
        <w:rPr>
          <w:b/>
          <w:bCs/>
        </w:rPr>
        <w:t>Y</w:t>
      </w:r>
      <w:r w:rsidR="00256266" w:rsidRPr="00297385">
        <w:rPr>
          <w:b/>
          <w:bCs/>
        </w:rPr>
        <w:t>es</w:t>
      </w:r>
    </w:p>
    <w:p w14:paraId="2390C2B7" w14:textId="77777777" w:rsidR="00C13238" w:rsidRPr="00266D52" w:rsidRDefault="00C13238" w:rsidP="001358CF">
      <w:pPr>
        <w:ind w:right="141"/>
        <w:jc w:val="both"/>
      </w:pPr>
    </w:p>
    <w:p w14:paraId="026DDDA7" w14:textId="7C82FE3C" w:rsidR="00922698" w:rsidRPr="00266D52" w:rsidRDefault="00AD4B25" w:rsidP="001358CF">
      <w:pPr>
        <w:tabs>
          <w:tab w:val="left" w:pos="5610"/>
        </w:tabs>
        <w:suppressAutoHyphens/>
        <w:autoSpaceDN w:val="0"/>
        <w:ind w:right="81"/>
        <w:jc w:val="both"/>
        <w:textAlignment w:val="baseline"/>
      </w:pPr>
      <w:r>
        <w:t>2.8.3</w:t>
      </w:r>
      <w:r w:rsidR="00A93CF8">
        <w:t xml:space="preserve"> </w:t>
      </w:r>
      <w:r w:rsidR="00922698" w:rsidRPr="00266D52">
        <w:t xml:space="preserve">The relevant risks contained in the register are attached/summarised </w:t>
      </w:r>
      <w:r w:rsidR="003E6E87" w:rsidRPr="00266D52">
        <w:t>below</w:t>
      </w:r>
      <w:r w:rsidR="003E6E87">
        <w:t>: -</w:t>
      </w:r>
      <w:r w:rsidR="00922698" w:rsidRPr="00266D52">
        <w:rPr>
          <w:color w:val="4472C4"/>
        </w:rPr>
        <w:tab/>
      </w:r>
    </w:p>
    <w:p w14:paraId="4BDD08D6" w14:textId="77777777" w:rsidR="00922698" w:rsidRPr="00266D52" w:rsidRDefault="00922698" w:rsidP="001358CF">
      <w:pPr>
        <w:suppressAutoHyphens/>
        <w:autoSpaceDN w:val="0"/>
        <w:ind w:left="-567"/>
        <w:jc w:val="both"/>
        <w:textAlignment w:val="baseline"/>
        <w:rPr>
          <w:color w:val="4472C4"/>
        </w:rPr>
      </w:pPr>
    </w:p>
    <w:p w14:paraId="5F67AE6D" w14:textId="01DF17C8" w:rsidR="00477685" w:rsidRPr="00297385" w:rsidRDefault="00922698" w:rsidP="00EA273E">
      <w:pPr>
        <w:pStyle w:val="ListParagraph"/>
        <w:numPr>
          <w:ilvl w:val="0"/>
          <w:numId w:val="16"/>
        </w:numPr>
        <w:jc w:val="both"/>
        <w:rPr>
          <w:rFonts w:cs="Arial"/>
          <w:i/>
          <w:iCs/>
          <w:color w:val="000000" w:themeColor="text1"/>
          <w:sz w:val="18"/>
          <w:szCs w:val="18"/>
          <w:lang w:eastAsia="en-GB"/>
        </w:rPr>
      </w:pPr>
      <w:r w:rsidRPr="00C13238">
        <w:t xml:space="preserve">The following key risks should be </w:t>
      </w:r>
      <w:r w:rsidR="0093226F" w:rsidRPr="00C13238">
        <w:t>considered</w:t>
      </w:r>
      <w:r w:rsidRPr="00C13238">
        <w:t xml:space="preserve"> when agreeing the recommendations in this report.</w:t>
      </w:r>
    </w:p>
    <w:tbl>
      <w:tblPr>
        <w:tblpPr w:leftFromText="180" w:rightFromText="180" w:vertAnchor="text" w:horzAnchor="margin" w:tblpY="-994"/>
        <w:tblW w:w="9211" w:type="dxa"/>
        <w:tblCellMar>
          <w:left w:w="10" w:type="dxa"/>
          <w:right w:w="10" w:type="dxa"/>
        </w:tblCellMar>
        <w:tblLook w:val="0000" w:firstRow="0" w:lastRow="0" w:firstColumn="0" w:lastColumn="0" w:noHBand="0" w:noVBand="0"/>
      </w:tblPr>
      <w:tblGrid>
        <w:gridCol w:w="2735"/>
        <w:gridCol w:w="4606"/>
        <w:gridCol w:w="1870"/>
      </w:tblGrid>
      <w:tr w:rsidR="00BB06FF" w:rsidRPr="00266D52" w14:paraId="52FA846B" w14:textId="77777777" w:rsidTr="00BB06FF">
        <w:trPr>
          <w:trHeight w:val="277"/>
        </w:trPr>
        <w:tc>
          <w:tcPr>
            <w:tcW w:w="9211"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5F6579B2" w14:textId="59A3BAC6" w:rsidR="00BB06FF" w:rsidRPr="00266D52" w:rsidRDefault="00BB06FF" w:rsidP="00BB06FF">
            <w:pPr>
              <w:ind w:right="141"/>
              <w:rPr>
                <w:rFonts w:cs="Arial"/>
                <w:b/>
                <w:bCs/>
                <w:szCs w:val="24"/>
                <w:lang w:val="en-US" w:eastAsia="en-GB"/>
              </w:rPr>
            </w:pPr>
            <w:r>
              <w:rPr>
                <w:rFonts w:cs="Arial"/>
                <w:b/>
                <w:bCs/>
                <w:szCs w:val="24"/>
                <w:lang w:val="en-US" w:eastAsia="en-GB"/>
              </w:rPr>
              <w:lastRenderedPageBreak/>
              <w:t>Table-1</w:t>
            </w:r>
          </w:p>
        </w:tc>
      </w:tr>
      <w:tr w:rsidR="00487557" w:rsidRPr="00266D52" w14:paraId="6F9DEFA3" w14:textId="77777777" w:rsidTr="00487557">
        <w:trPr>
          <w:trHeight w:val="277"/>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BE2F4" w14:textId="21476A53" w:rsidR="00487557" w:rsidRPr="00266D52" w:rsidRDefault="00487557" w:rsidP="00487557">
            <w:pPr>
              <w:ind w:right="141"/>
              <w:rPr>
                <w:rFonts w:cs="Arial"/>
                <w:b/>
                <w:bCs/>
                <w:szCs w:val="24"/>
                <w:lang w:val="en-US" w:eastAsia="en-GB"/>
              </w:rPr>
            </w:pPr>
            <w:r w:rsidRPr="00266D52">
              <w:rPr>
                <w:rFonts w:cs="Arial"/>
                <w:b/>
                <w:bCs/>
                <w:szCs w:val="24"/>
                <w:lang w:val="en-US" w:eastAsia="en-GB"/>
              </w:rPr>
              <w:t xml:space="preserve">Risk Description </w:t>
            </w:r>
          </w:p>
        </w:tc>
        <w:tc>
          <w:tcPr>
            <w:tcW w:w="4606" w:type="dxa"/>
            <w:tcBorders>
              <w:top w:val="single" w:sz="4" w:space="0" w:color="000000"/>
              <w:left w:val="single" w:sz="4" w:space="0" w:color="000000"/>
              <w:bottom w:val="single" w:sz="4" w:space="0" w:color="000000"/>
              <w:right w:val="single" w:sz="4" w:space="0" w:color="000000"/>
            </w:tcBorders>
            <w:vAlign w:val="center"/>
          </w:tcPr>
          <w:p w14:paraId="614E7079" w14:textId="77777777" w:rsidR="00487557" w:rsidRPr="00266D52" w:rsidRDefault="00487557" w:rsidP="00487557">
            <w:pPr>
              <w:ind w:right="141"/>
              <w:jc w:val="center"/>
              <w:rPr>
                <w:rFonts w:cs="Arial"/>
                <w:b/>
                <w:bCs/>
                <w:szCs w:val="24"/>
                <w:lang w:val="en-US" w:eastAsia="en-GB"/>
              </w:rPr>
            </w:pPr>
            <w:r w:rsidRPr="00266D52">
              <w:rPr>
                <w:rFonts w:cs="Arial"/>
                <w:b/>
                <w:bCs/>
                <w:szCs w:val="24"/>
                <w:lang w:val="en-US" w:eastAsia="en-GB"/>
              </w:rPr>
              <w:t xml:space="preserve">Mitigations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3DB6E3" w14:textId="77777777" w:rsidR="00487557" w:rsidRPr="00266D52" w:rsidRDefault="00487557" w:rsidP="00487557">
            <w:pPr>
              <w:ind w:right="141"/>
              <w:jc w:val="center"/>
              <w:rPr>
                <w:rFonts w:cs="Arial"/>
                <w:b/>
                <w:bCs/>
                <w:szCs w:val="24"/>
                <w:lang w:val="en-US" w:eastAsia="en-GB"/>
              </w:rPr>
            </w:pPr>
            <w:r w:rsidRPr="00266D52">
              <w:rPr>
                <w:rFonts w:cs="Arial"/>
                <w:b/>
                <w:bCs/>
                <w:szCs w:val="24"/>
                <w:lang w:val="en-US" w:eastAsia="en-GB"/>
              </w:rPr>
              <w:t xml:space="preserve">RAG Status </w:t>
            </w:r>
          </w:p>
        </w:tc>
      </w:tr>
      <w:tr w:rsidR="00487557" w:rsidRPr="00266D52" w14:paraId="7C274DCC" w14:textId="77777777" w:rsidTr="00487557">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F43DE" w14:textId="77777777" w:rsidR="00487557" w:rsidRPr="00266D52" w:rsidRDefault="00487557" w:rsidP="00487557">
            <w:pPr>
              <w:ind w:right="141"/>
              <w:rPr>
                <w:rFonts w:ascii="Arial Nova" w:eastAsia="Calibri" w:hAnsi="Arial Nova" w:cs="Arial"/>
                <w:b/>
                <w:bCs/>
                <w:sz w:val="18"/>
                <w:szCs w:val="18"/>
              </w:rPr>
            </w:pPr>
            <w:r w:rsidRPr="00266D52">
              <w:rPr>
                <w:rFonts w:ascii="Arial Nova" w:eastAsia="Calibri" w:hAnsi="Arial Nova" w:cs="Arial"/>
                <w:b/>
                <w:bCs/>
                <w:sz w:val="18"/>
                <w:szCs w:val="18"/>
              </w:rPr>
              <w:t xml:space="preserve">Specific risks that are currently unknown </w:t>
            </w:r>
            <w:r w:rsidRPr="002B7B94">
              <w:rPr>
                <w:rFonts w:ascii="Arial Nova" w:eastAsia="Calibri" w:hAnsi="Arial Nova" w:cs="Arial"/>
                <w:b/>
                <w:bCs/>
                <w:sz w:val="18"/>
                <w:szCs w:val="18"/>
              </w:rPr>
              <w:t>arising upon project commencement</w:t>
            </w:r>
          </w:p>
        </w:tc>
        <w:tc>
          <w:tcPr>
            <w:tcW w:w="4606" w:type="dxa"/>
            <w:tcBorders>
              <w:top w:val="single" w:sz="4" w:space="0" w:color="000000"/>
              <w:left w:val="single" w:sz="4" w:space="0" w:color="000000"/>
              <w:bottom w:val="single" w:sz="4" w:space="0" w:color="000000"/>
              <w:right w:val="single" w:sz="4" w:space="0" w:color="000000"/>
            </w:tcBorders>
            <w:vAlign w:val="center"/>
          </w:tcPr>
          <w:p w14:paraId="13DB54AC" w14:textId="11AB3E77" w:rsidR="00487557" w:rsidRPr="00266D52" w:rsidRDefault="00487557" w:rsidP="00487557">
            <w:pPr>
              <w:rPr>
                <w:rFonts w:ascii="Arial Nova" w:eastAsia="Calibri" w:hAnsi="Arial Nova" w:cs="Arial"/>
                <w:sz w:val="18"/>
                <w:szCs w:val="18"/>
              </w:rPr>
            </w:pPr>
            <w:r w:rsidRPr="00266D52">
              <w:rPr>
                <w:rFonts w:ascii="Arial Nova" w:eastAsia="Calibri" w:hAnsi="Arial Nova" w:cs="Arial"/>
                <w:sz w:val="18"/>
                <w:szCs w:val="18"/>
              </w:rPr>
              <w:t xml:space="preserve">A risk register specific for this procurement will be started from the </w:t>
            </w:r>
            <w:r w:rsidRPr="00266D52">
              <w:rPr>
                <w:rFonts w:ascii="Arial Nova" w:eastAsia="Calibri" w:hAnsi="Arial Nova" w:cs="Arial"/>
                <w:sz w:val="18"/>
                <w:szCs w:val="18"/>
              </w:rPr>
              <w:tab/>
              <w:t>outset of the process and will be maintained and reviewed by all relevant staff regularly</w:t>
            </w:r>
            <w:r w:rsidR="00506928">
              <w:rPr>
                <w:rFonts w:ascii="Arial Nova" w:eastAsia="Calibri" w:hAnsi="Arial Nova" w:cs="Arial"/>
                <w:sz w:val="18"/>
                <w:szCs w:val="18"/>
              </w:rPr>
              <w:t xml:space="preserve">. </w:t>
            </w:r>
            <w:r w:rsidRPr="00266D52">
              <w:rPr>
                <w:rFonts w:ascii="Arial Nova" w:eastAsia="Calibri" w:hAnsi="Arial Nova" w:cs="Arial"/>
                <w:sz w:val="18"/>
                <w:szCs w:val="18"/>
              </w:rPr>
              <w:t xml:space="preserve">The assigned Project Manager and Housing Asset Management team will ensure there is a risk register in place from programme brief </w:t>
            </w:r>
            <w:r w:rsidRPr="00266D52">
              <w:rPr>
                <w:rFonts w:ascii="Arial Nova" w:eastAsia="Calibri" w:hAnsi="Arial Nova" w:cs="Arial"/>
                <w:sz w:val="18"/>
                <w:szCs w:val="18"/>
              </w:rPr>
              <w:tab/>
              <w:t>onwards.</w:t>
            </w:r>
          </w:p>
          <w:p w14:paraId="604C06BA" w14:textId="77777777" w:rsidR="00487557" w:rsidRPr="00266D52" w:rsidRDefault="00487557" w:rsidP="00487557">
            <w:pPr>
              <w:rPr>
                <w:rFonts w:ascii="Arial Nova" w:eastAsia="Calibri" w:hAnsi="Arial Nova" w:cs="Arial"/>
                <w:sz w:val="18"/>
                <w:szCs w:val="18"/>
              </w:rPr>
            </w:pPr>
          </w:p>
          <w:p w14:paraId="5FAAE8E8" w14:textId="397A7FA5" w:rsidR="00487557" w:rsidRPr="00266D52" w:rsidRDefault="00487557" w:rsidP="00487557">
            <w:pPr>
              <w:rPr>
                <w:rFonts w:ascii="Arial Nova" w:eastAsia="Calibri" w:hAnsi="Arial Nova" w:cs="Arial"/>
                <w:sz w:val="18"/>
                <w:szCs w:val="18"/>
              </w:rPr>
            </w:pPr>
            <w:r w:rsidRPr="00266D52">
              <w:rPr>
                <w:rFonts w:ascii="Arial Nova" w:eastAsia="Calibri" w:hAnsi="Arial Nova" w:cs="Arial"/>
                <w:sz w:val="18"/>
                <w:szCs w:val="18"/>
              </w:rPr>
              <w:t xml:space="preserve">Specific risks will be monitored and managed on the project as it moves forward. The aim of risk management is to identify </w:t>
            </w:r>
            <w:r w:rsidR="008E0EFC" w:rsidRPr="00266D52">
              <w:rPr>
                <w:rFonts w:ascii="Arial Nova" w:eastAsia="Calibri" w:hAnsi="Arial Nova" w:cs="Arial"/>
                <w:sz w:val="18"/>
                <w:szCs w:val="18"/>
              </w:rPr>
              <w:t>business risks</w:t>
            </w:r>
            <w:r w:rsidRPr="00266D52">
              <w:rPr>
                <w:rFonts w:ascii="Arial Nova" w:eastAsia="Calibri" w:hAnsi="Arial Nova" w:cs="Arial"/>
                <w:sz w:val="18"/>
                <w:szCs w:val="18"/>
              </w:rPr>
              <w:t xml:space="preserve"> and effectively manage them.</w:t>
            </w:r>
          </w:p>
          <w:p w14:paraId="3AB5F63B" w14:textId="77777777" w:rsidR="00487557" w:rsidRPr="00266D52" w:rsidRDefault="00487557" w:rsidP="00487557">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22CF0CB5" w14:textId="60B9BAD4" w:rsidR="00487557" w:rsidRPr="00266D52" w:rsidRDefault="00DD5E78" w:rsidP="00101514">
            <w:pPr>
              <w:jc w:val="center"/>
              <w:rPr>
                <w:rFonts w:ascii="Arial Nova" w:eastAsia="Calibri" w:hAnsi="Arial Nova" w:cs="Arial"/>
                <w:sz w:val="18"/>
                <w:szCs w:val="18"/>
              </w:rPr>
            </w:pPr>
            <w:r>
              <w:rPr>
                <w:rFonts w:ascii="Arial Nova" w:eastAsia="Calibri" w:hAnsi="Arial Nova" w:cs="Arial"/>
                <w:sz w:val="18"/>
                <w:szCs w:val="18"/>
              </w:rPr>
              <w:t>Amber</w:t>
            </w:r>
          </w:p>
        </w:tc>
      </w:tr>
      <w:tr w:rsidR="00487557" w:rsidRPr="00266D52" w14:paraId="630260AF" w14:textId="77777777" w:rsidTr="00487557">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08758" w14:textId="3DB584AD" w:rsidR="00487557" w:rsidRPr="00266D52" w:rsidRDefault="00E64ADD" w:rsidP="00487557">
            <w:pPr>
              <w:ind w:right="141"/>
              <w:rPr>
                <w:rFonts w:ascii="Arial Nova" w:eastAsia="Calibri" w:hAnsi="Arial Nova" w:cs="Arial"/>
                <w:b/>
                <w:bCs/>
                <w:sz w:val="18"/>
                <w:szCs w:val="18"/>
              </w:rPr>
            </w:pPr>
            <w:r>
              <w:rPr>
                <w:rFonts w:ascii="Arial Nova" w:eastAsia="Calibri" w:hAnsi="Arial Nova" w:cs="Arial"/>
                <w:b/>
                <w:bCs/>
                <w:sz w:val="18"/>
                <w:szCs w:val="18"/>
              </w:rPr>
              <w:t>Lack of full recovery of Leasehold S20 costs</w:t>
            </w:r>
          </w:p>
        </w:tc>
        <w:tc>
          <w:tcPr>
            <w:tcW w:w="4606" w:type="dxa"/>
            <w:tcBorders>
              <w:top w:val="single" w:sz="4" w:space="0" w:color="000000"/>
              <w:left w:val="single" w:sz="4" w:space="0" w:color="000000"/>
              <w:bottom w:val="single" w:sz="4" w:space="0" w:color="000000"/>
              <w:right w:val="single" w:sz="4" w:space="0" w:color="000000"/>
            </w:tcBorders>
            <w:vAlign w:val="center"/>
          </w:tcPr>
          <w:p w14:paraId="3A16AD33" w14:textId="4FBCB194" w:rsidR="00487557" w:rsidRPr="00266D52" w:rsidRDefault="00E64ADD" w:rsidP="0082294B">
            <w:pPr>
              <w:jc w:val="both"/>
              <w:rPr>
                <w:rFonts w:ascii="Arial Nova" w:eastAsia="Calibri" w:hAnsi="Arial Nova" w:cs="Arial"/>
                <w:sz w:val="18"/>
                <w:szCs w:val="18"/>
              </w:rPr>
            </w:pPr>
            <w:r>
              <w:rPr>
                <w:rFonts w:ascii="Arial Nova" w:eastAsia="Calibri" w:hAnsi="Arial Nova" w:cs="Arial"/>
                <w:sz w:val="18"/>
                <w:szCs w:val="18"/>
              </w:rPr>
              <w:t xml:space="preserve">Ensuring a fully audited Section 20 consultation process takes place and a robust recovery process is implemented by the Leasehold Services team </w:t>
            </w:r>
          </w:p>
        </w:tc>
        <w:tc>
          <w:tcPr>
            <w:tcW w:w="1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660182C3" w14:textId="655B2562" w:rsidR="00487557" w:rsidRPr="00266D52" w:rsidRDefault="00DD5E78" w:rsidP="00101514">
            <w:pPr>
              <w:jc w:val="center"/>
              <w:rPr>
                <w:rFonts w:ascii="Arial Nova" w:eastAsia="Calibri" w:hAnsi="Arial Nova" w:cs="Arial"/>
                <w:sz w:val="18"/>
                <w:szCs w:val="18"/>
              </w:rPr>
            </w:pPr>
            <w:r>
              <w:rPr>
                <w:rFonts w:ascii="Arial Nova" w:eastAsia="Calibri" w:hAnsi="Arial Nova" w:cs="Arial"/>
                <w:sz w:val="18"/>
                <w:szCs w:val="18"/>
              </w:rPr>
              <w:t>Amber</w:t>
            </w:r>
          </w:p>
        </w:tc>
      </w:tr>
      <w:tr w:rsidR="00477685" w:rsidRPr="00266D52" w14:paraId="50E703D1" w14:textId="77777777" w:rsidTr="00487557">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9C6D" w14:textId="1A8517A9" w:rsidR="00477685" w:rsidRPr="00266D52" w:rsidRDefault="00477685" w:rsidP="00477685">
            <w:pPr>
              <w:ind w:right="141"/>
              <w:rPr>
                <w:rFonts w:ascii="Arial Nova" w:eastAsia="Calibri" w:hAnsi="Arial Nova" w:cs="Arial"/>
                <w:sz w:val="18"/>
                <w:szCs w:val="18"/>
              </w:rPr>
            </w:pPr>
            <w:r w:rsidRPr="00266D52">
              <w:rPr>
                <w:rFonts w:ascii="Arial Nova" w:eastAsia="Calibri" w:hAnsi="Arial Nova" w:cs="Arial"/>
                <w:b/>
                <w:bCs/>
                <w:sz w:val="18"/>
                <w:szCs w:val="18"/>
              </w:rPr>
              <w:t xml:space="preserve">VFM </w:t>
            </w:r>
            <w:r w:rsidR="00E64ADD">
              <w:rPr>
                <w:rFonts w:ascii="Arial Nova" w:eastAsia="Calibri" w:hAnsi="Arial Nova" w:cs="Arial"/>
                <w:b/>
                <w:bCs/>
                <w:sz w:val="18"/>
                <w:szCs w:val="18"/>
              </w:rPr>
              <w:t xml:space="preserve">not achieved for project. </w:t>
            </w:r>
          </w:p>
          <w:p w14:paraId="74C089DD" w14:textId="6707EF24" w:rsidR="00477685" w:rsidRDefault="00477685" w:rsidP="00477685">
            <w:pPr>
              <w:ind w:right="141"/>
              <w:rPr>
                <w:rFonts w:ascii="Arial Nova" w:eastAsia="Calibri" w:hAnsi="Arial Nova" w:cs="Arial"/>
                <w:b/>
                <w:bCs/>
                <w:sz w:val="18"/>
                <w:szCs w:val="18"/>
              </w:rPr>
            </w:pPr>
            <w:r w:rsidRPr="00266D52">
              <w:rPr>
                <w:rFonts w:ascii="Arial Nova" w:eastAsia="Calibri" w:hAnsi="Arial Nova" w:cs="Arial"/>
                <w:sz w:val="18"/>
                <w:szCs w:val="18"/>
              </w:rPr>
              <w:t>With reduced capital investment there is a drive to maximise efficiencies</w:t>
            </w:r>
          </w:p>
        </w:tc>
        <w:tc>
          <w:tcPr>
            <w:tcW w:w="4606" w:type="dxa"/>
            <w:tcBorders>
              <w:top w:val="single" w:sz="4" w:space="0" w:color="000000"/>
              <w:left w:val="single" w:sz="4" w:space="0" w:color="000000"/>
              <w:bottom w:val="single" w:sz="4" w:space="0" w:color="000000"/>
              <w:right w:val="single" w:sz="4" w:space="0" w:color="000000"/>
            </w:tcBorders>
            <w:vAlign w:val="center"/>
          </w:tcPr>
          <w:p w14:paraId="1975D268" w14:textId="702F2B22" w:rsidR="00477685" w:rsidRDefault="003612AC" w:rsidP="00477685">
            <w:pPr>
              <w:jc w:val="both"/>
              <w:rPr>
                <w:rFonts w:ascii="Arial Nova" w:eastAsia="Calibri" w:hAnsi="Arial Nova" w:cs="Arial"/>
                <w:sz w:val="18"/>
                <w:szCs w:val="18"/>
              </w:rPr>
            </w:pPr>
            <w:r>
              <w:rPr>
                <w:rFonts w:ascii="Arial Nova" w:eastAsia="Calibri" w:hAnsi="Arial Nova" w:cs="Arial"/>
                <w:sz w:val="18"/>
                <w:szCs w:val="18"/>
              </w:rPr>
              <w:t>Engage in a competitive tender process with analysis on quality and price. Specification will test open market in terms of materials and supplies for contract. Minimise specified products on the market. A performance specification will be part of the ITT and suppliers are able to put forward alternative products with the contract administrator’s approval.</w:t>
            </w:r>
          </w:p>
        </w:tc>
        <w:tc>
          <w:tcPr>
            <w:tcW w:w="1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5815A1A4" w14:textId="257363B7" w:rsidR="00477685" w:rsidRDefault="00477685" w:rsidP="00101514">
            <w:pPr>
              <w:jc w:val="center"/>
              <w:rPr>
                <w:rFonts w:ascii="Arial Nova" w:eastAsia="Calibri" w:hAnsi="Arial Nova" w:cs="Arial"/>
                <w:sz w:val="18"/>
                <w:szCs w:val="18"/>
              </w:rPr>
            </w:pPr>
            <w:r>
              <w:rPr>
                <w:rFonts w:ascii="Arial Nova" w:eastAsia="Calibri" w:hAnsi="Arial Nova" w:cs="Arial"/>
                <w:sz w:val="18"/>
                <w:szCs w:val="18"/>
              </w:rPr>
              <w:t>Amber</w:t>
            </w:r>
          </w:p>
        </w:tc>
      </w:tr>
      <w:tr w:rsidR="00487557" w:rsidRPr="00266D52" w14:paraId="6C330CD5" w14:textId="77777777" w:rsidTr="00487557">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BBCD7" w14:textId="78BCAF4B" w:rsidR="00487557" w:rsidRPr="00266D52" w:rsidRDefault="003612AC" w:rsidP="00487557">
            <w:pPr>
              <w:ind w:right="141"/>
              <w:rPr>
                <w:rFonts w:ascii="Arial Nova" w:eastAsia="Calibri" w:hAnsi="Arial Nova" w:cs="Arial"/>
                <w:b/>
                <w:bCs/>
                <w:sz w:val="18"/>
                <w:szCs w:val="18"/>
              </w:rPr>
            </w:pPr>
            <w:r>
              <w:rPr>
                <w:rFonts w:ascii="Arial Nova" w:eastAsia="Calibri" w:hAnsi="Arial Nova" w:cs="Arial"/>
                <w:b/>
                <w:bCs/>
                <w:sz w:val="18"/>
                <w:szCs w:val="18"/>
              </w:rPr>
              <w:t xml:space="preserve">Risk of not being able to attract specialist contractors during </w:t>
            </w:r>
            <w:r w:rsidRPr="00266D52">
              <w:rPr>
                <w:rFonts w:ascii="Arial Nova" w:eastAsia="Calibri" w:hAnsi="Arial Nova" w:cs="Arial"/>
                <w:b/>
                <w:bCs/>
                <w:sz w:val="18"/>
                <w:szCs w:val="18"/>
              </w:rPr>
              <w:t>procurement</w:t>
            </w:r>
            <w:r w:rsidR="00487557" w:rsidRPr="00266D52">
              <w:rPr>
                <w:rFonts w:ascii="Arial Nova" w:eastAsia="Calibri" w:hAnsi="Arial Nova" w:cs="Arial"/>
                <w:b/>
                <w:bCs/>
                <w:sz w:val="18"/>
                <w:szCs w:val="18"/>
              </w:rPr>
              <w:t xml:space="preserve"> of contract – </w:t>
            </w:r>
            <w:r w:rsidR="00487557" w:rsidRPr="00266D52">
              <w:rPr>
                <w:rFonts w:ascii="Arial Nova" w:eastAsia="Calibri" w:hAnsi="Arial Nova" w:cs="Arial"/>
                <w:sz w:val="18"/>
                <w:szCs w:val="18"/>
              </w:rPr>
              <w:t>specialist contractors required for</w:t>
            </w:r>
            <w:r w:rsidR="00487557" w:rsidRPr="00266D52">
              <w:rPr>
                <w:rFonts w:ascii="Arial Nova" w:eastAsia="Calibri" w:hAnsi="Arial Nova" w:cs="Arial"/>
                <w:b/>
                <w:bCs/>
                <w:sz w:val="18"/>
                <w:szCs w:val="18"/>
              </w:rPr>
              <w:t xml:space="preserve"> </w:t>
            </w:r>
            <w:r w:rsidR="00487557" w:rsidRPr="00266D52">
              <w:rPr>
                <w:rFonts w:ascii="Arial Nova" w:eastAsia="Calibri" w:hAnsi="Arial Nova" w:cs="Arial"/>
                <w:sz w:val="18"/>
                <w:szCs w:val="18"/>
              </w:rPr>
              <w:t>the project</w:t>
            </w:r>
            <w:r w:rsidR="00487557" w:rsidRPr="00266D52">
              <w:rPr>
                <w:rFonts w:ascii="Arial Nova" w:eastAsia="Calibri" w:hAnsi="Arial Nova" w:cs="Arial"/>
                <w:b/>
                <w:bCs/>
                <w:sz w:val="18"/>
                <w:szCs w:val="18"/>
              </w:rPr>
              <w:t xml:space="preserve"> </w:t>
            </w:r>
            <w:r w:rsidR="00487557" w:rsidRPr="00266D52">
              <w:rPr>
                <w:rFonts w:ascii="Arial Nova" w:eastAsia="Calibri" w:hAnsi="Arial Nova" w:cs="Arial"/>
                <w:sz w:val="18"/>
                <w:szCs w:val="18"/>
              </w:rPr>
              <w:t>success</w:t>
            </w:r>
          </w:p>
        </w:tc>
        <w:tc>
          <w:tcPr>
            <w:tcW w:w="4606" w:type="dxa"/>
            <w:tcBorders>
              <w:top w:val="single" w:sz="4" w:space="0" w:color="000000"/>
              <w:left w:val="single" w:sz="4" w:space="0" w:color="000000"/>
              <w:bottom w:val="single" w:sz="4" w:space="0" w:color="000000"/>
              <w:right w:val="single" w:sz="4" w:space="0" w:color="000000"/>
            </w:tcBorders>
            <w:vAlign w:val="center"/>
          </w:tcPr>
          <w:p w14:paraId="55C88235" w14:textId="64563311" w:rsidR="00487557" w:rsidRPr="00266D52" w:rsidRDefault="00487557" w:rsidP="00487557">
            <w:pPr>
              <w:rPr>
                <w:rFonts w:ascii="Arial Nova" w:eastAsia="Calibri" w:hAnsi="Arial Nova" w:cs="Arial"/>
                <w:sz w:val="18"/>
                <w:szCs w:val="18"/>
              </w:rPr>
            </w:pPr>
            <w:r w:rsidRPr="00266D52">
              <w:rPr>
                <w:rFonts w:ascii="Arial Nova" w:eastAsia="Calibri" w:hAnsi="Arial Nova" w:cs="Arial"/>
                <w:sz w:val="18"/>
                <w:szCs w:val="18"/>
              </w:rPr>
              <w:t xml:space="preserve">By </w:t>
            </w:r>
            <w:r w:rsidR="00570061">
              <w:rPr>
                <w:rFonts w:ascii="Arial Nova" w:eastAsia="Calibri" w:hAnsi="Arial Nova" w:cs="Arial"/>
                <w:sz w:val="18"/>
                <w:szCs w:val="18"/>
              </w:rPr>
              <w:t xml:space="preserve">tendering to the ‘Open Market </w:t>
            </w:r>
            <w:r w:rsidRPr="00266D52">
              <w:rPr>
                <w:rFonts w:ascii="Arial Nova" w:eastAsia="Calibri" w:hAnsi="Arial Nova" w:cs="Arial"/>
                <w:sz w:val="18"/>
                <w:szCs w:val="18"/>
              </w:rPr>
              <w:t>tender</w:t>
            </w:r>
            <w:r w:rsidR="00570061">
              <w:rPr>
                <w:rFonts w:ascii="Arial Nova" w:eastAsia="Calibri" w:hAnsi="Arial Nova" w:cs="Arial"/>
                <w:sz w:val="18"/>
                <w:szCs w:val="18"/>
              </w:rPr>
              <w:t>’</w:t>
            </w:r>
            <w:r w:rsidR="003612AC">
              <w:rPr>
                <w:rFonts w:ascii="Arial Nova" w:eastAsia="Calibri" w:hAnsi="Arial Nova" w:cs="Arial"/>
                <w:sz w:val="18"/>
                <w:szCs w:val="18"/>
              </w:rPr>
              <w:t xml:space="preserve"> and listing the elements of work specific to the project in the ITT</w:t>
            </w:r>
            <w:r w:rsidR="00570061">
              <w:rPr>
                <w:rFonts w:ascii="Arial Nova" w:eastAsia="Calibri" w:hAnsi="Arial Nova" w:cs="Arial"/>
                <w:sz w:val="18"/>
                <w:szCs w:val="18"/>
              </w:rPr>
              <w:t xml:space="preserve"> a </w:t>
            </w:r>
            <w:r w:rsidR="005669C0">
              <w:rPr>
                <w:rFonts w:ascii="Arial Nova" w:eastAsia="Calibri" w:hAnsi="Arial Nova" w:cs="Arial"/>
                <w:sz w:val="18"/>
                <w:szCs w:val="18"/>
              </w:rPr>
              <w:t xml:space="preserve">compliance works </w:t>
            </w:r>
            <w:r w:rsidR="00570061">
              <w:rPr>
                <w:rFonts w:ascii="Arial Nova" w:eastAsia="Calibri" w:hAnsi="Arial Nova" w:cs="Arial"/>
                <w:sz w:val="18"/>
                <w:szCs w:val="18"/>
              </w:rPr>
              <w:t xml:space="preserve">contractor </w:t>
            </w:r>
            <w:r w:rsidR="00345CFB">
              <w:rPr>
                <w:rFonts w:ascii="Arial Nova" w:eastAsia="Calibri" w:hAnsi="Arial Nova" w:cs="Arial"/>
                <w:sz w:val="18"/>
                <w:szCs w:val="18"/>
              </w:rPr>
              <w:t>will be</w:t>
            </w:r>
            <w:r w:rsidR="003D6821">
              <w:rPr>
                <w:rFonts w:ascii="Arial Nova" w:eastAsia="Calibri" w:hAnsi="Arial Nova" w:cs="Arial"/>
                <w:sz w:val="18"/>
                <w:szCs w:val="18"/>
              </w:rPr>
              <w:t xml:space="preserve"> sourced</w:t>
            </w:r>
            <w:r w:rsidR="00CB4595">
              <w:rPr>
                <w:rFonts w:ascii="Arial Nova" w:eastAsia="Calibri" w:hAnsi="Arial Nova" w:cs="Arial"/>
                <w:sz w:val="18"/>
                <w:szCs w:val="18"/>
              </w:rPr>
              <w:t>.</w:t>
            </w:r>
            <w:r w:rsidR="00345CFB">
              <w:rPr>
                <w:rFonts w:ascii="Arial Nova" w:eastAsia="Calibri" w:hAnsi="Arial Nova" w:cs="Arial"/>
                <w:sz w:val="18"/>
                <w:szCs w:val="18"/>
              </w:rPr>
              <w:t xml:space="preserve"> C</w:t>
            </w:r>
            <w:r w:rsidR="008076F5">
              <w:rPr>
                <w:rFonts w:ascii="Arial Nova" w:eastAsia="Calibri" w:hAnsi="Arial Nova" w:cs="Arial"/>
                <w:sz w:val="18"/>
                <w:szCs w:val="18"/>
              </w:rPr>
              <w:t xml:space="preserve">ontactor </w:t>
            </w:r>
            <w:r w:rsidR="003612AC">
              <w:rPr>
                <w:rFonts w:ascii="Arial Nova" w:eastAsia="Calibri" w:hAnsi="Arial Nova" w:cs="Arial"/>
                <w:sz w:val="18"/>
                <w:szCs w:val="18"/>
              </w:rPr>
              <w:t>will</w:t>
            </w:r>
            <w:r w:rsidR="00345CFB">
              <w:rPr>
                <w:rFonts w:ascii="Arial Nova" w:eastAsia="Calibri" w:hAnsi="Arial Nova" w:cs="Arial"/>
                <w:sz w:val="18"/>
                <w:szCs w:val="18"/>
              </w:rPr>
              <w:t xml:space="preserve"> be </w:t>
            </w:r>
            <w:r w:rsidR="008076F5">
              <w:rPr>
                <w:rFonts w:ascii="Arial Nova" w:eastAsia="Calibri" w:hAnsi="Arial Nova" w:cs="Arial"/>
                <w:sz w:val="18"/>
                <w:szCs w:val="18"/>
              </w:rPr>
              <w:t>experience</w:t>
            </w:r>
            <w:r w:rsidR="000C5924">
              <w:rPr>
                <w:rFonts w:ascii="Arial Nova" w:eastAsia="Calibri" w:hAnsi="Arial Nova" w:cs="Arial"/>
                <w:sz w:val="18"/>
                <w:szCs w:val="18"/>
              </w:rPr>
              <w:t xml:space="preserve"> and</w:t>
            </w:r>
            <w:r w:rsidR="00345CFB">
              <w:rPr>
                <w:rFonts w:ascii="Arial Nova" w:eastAsia="Calibri" w:hAnsi="Arial Nova" w:cs="Arial"/>
                <w:sz w:val="18"/>
                <w:szCs w:val="18"/>
              </w:rPr>
              <w:t xml:space="preserve"> have</w:t>
            </w:r>
            <w:r w:rsidR="000C5924">
              <w:rPr>
                <w:rFonts w:ascii="Arial Nova" w:eastAsia="Calibri" w:hAnsi="Arial Nova" w:cs="Arial"/>
                <w:sz w:val="18"/>
                <w:szCs w:val="18"/>
              </w:rPr>
              <w:t xml:space="preserve"> knowledge</w:t>
            </w:r>
            <w:r w:rsidR="008076F5">
              <w:rPr>
                <w:rFonts w:ascii="Arial Nova" w:eastAsia="Calibri" w:hAnsi="Arial Nova" w:cs="Arial"/>
                <w:sz w:val="18"/>
                <w:szCs w:val="18"/>
              </w:rPr>
              <w:t xml:space="preserve"> in delivering </w:t>
            </w:r>
            <w:r w:rsidRPr="00266D52">
              <w:rPr>
                <w:rFonts w:ascii="Arial Nova" w:eastAsia="Calibri" w:hAnsi="Arial Nova" w:cs="Arial"/>
                <w:sz w:val="18"/>
                <w:szCs w:val="18"/>
              </w:rPr>
              <w:t>this area of work.</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31E4847" w14:textId="77777777" w:rsidR="00136A2B" w:rsidRDefault="00136A2B" w:rsidP="00101514">
            <w:pPr>
              <w:jc w:val="center"/>
              <w:rPr>
                <w:rFonts w:ascii="Arial Nova" w:eastAsia="Calibri" w:hAnsi="Arial Nova" w:cs="Arial"/>
                <w:sz w:val="18"/>
                <w:szCs w:val="18"/>
              </w:rPr>
            </w:pPr>
          </w:p>
          <w:p w14:paraId="1305023A" w14:textId="77777777" w:rsidR="00136A2B" w:rsidRDefault="00136A2B" w:rsidP="00101514">
            <w:pPr>
              <w:jc w:val="center"/>
              <w:rPr>
                <w:rFonts w:ascii="Arial Nova" w:eastAsia="Calibri" w:hAnsi="Arial Nova" w:cs="Arial"/>
                <w:sz w:val="18"/>
                <w:szCs w:val="18"/>
              </w:rPr>
            </w:pPr>
          </w:p>
          <w:p w14:paraId="41103109" w14:textId="77777777" w:rsidR="00136A2B" w:rsidRDefault="00136A2B" w:rsidP="00101514">
            <w:pPr>
              <w:jc w:val="center"/>
              <w:rPr>
                <w:rFonts w:ascii="Arial Nova" w:eastAsia="Calibri" w:hAnsi="Arial Nova" w:cs="Arial"/>
                <w:sz w:val="18"/>
                <w:szCs w:val="18"/>
              </w:rPr>
            </w:pPr>
          </w:p>
          <w:p w14:paraId="08382012" w14:textId="423331F4" w:rsidR="00487557" w:rsidRPr="00266D52" w:rsidRDefault="00136A2B" w:rsidP="00101514">
            <w:pPr>
              <w:jc w:val="center"/>
              <w:rPr>
                <w:rFonts w:ascii="Arial Nova" w:eastAsia="Calibri" w:hAnsi="Arial Nova" w:cs="Arial"/>
                <w:sz w:val="18"/>
                <w:szCs w:val="18"/>
              </w:rPr>
            </w:pPr>
            <w:r>
              <w:rPr>
                <w:rFonts w:ascii="Arial Nova" w:eastAsia="Calibri" w:hAnsi="Arial Nova" w:cs="Arial"/>
                <w:sz w:val="18"/>
                <w:szCs w:val="18"/>
              </w:rPr>
              <w:t>Green</w:t>
            </w:r>
          </w:p>
        </w:tc>
      </w:tr>
      <w:tr w:rsidR="006808DD" w:rsidRPr="00266D52" w14:paraId="60FA9484" w14:textId="77777777" w:rsidTr="00E342A2">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A0595" w14:textId="2041B253" w:rsidR="006808DD" w:rsidRPr="00266D52" w:rsidRDefault="006808DD" w:rsidP="006808DD">
            <w:pPr>
              <w:ind w:right="141"/>
              <w:rPr>
                <w:rFonts w:ascii="Arial Nova" w:eastAsia="Calibri" w:hAnsi="Arial Nova" w:cs="Arial"/>
                <w:b/>
                <w:bCs/>
                <w:sz w:val="18"/>
                <w:szCs w:val="18"/>
              </w:rPr>
            </w:pPr>
            <w:r w:rsidRPr="00266D52">
              <w:rPr>
                <w:rFonts w:ascii="Arial Nova" w:eastAsia="Calibri" w:hAnsi="Arial Nova" w:cs="Arial"/>
                <w:b/>
                <w:bCs/>
                <w:sz w:val="18"/>
                <w:szCs w:val="18"/>
              </w:rPr>
              <w:t xml:space="preserve">Delays in project </w:t>
            </w:r>
            <w:r>
              <w:rPr>
                <w:rFonts w:ascii="Arial Nova" w:eastAsia="Calibri" w:hAnsi="Arial Nova" w:cs="Arial"/>
                <w:b/>
                <w:bCs/>
                <w:sz w:val="18"/>
                <w:szCs w:val="18"/>
              </w:rPr>
              <w:t>–</w:t>
            </w:r>
            <w:r w:rsidRPr="00266D52">
              <w:rPr>
                <w:rFonts w:ascii="Arial Nova" w:eastAsia="Calibri" w:hAnsi="Arial Nova" w:cs="Arial"/>
                <w:sz w:val="18"/>
                <w:szCs w:val="18"/>
              </w:rPr>
              <w:t xml:space="preserve"> </w:t>
            </w:r>
            <w:r>
              <w:rPr>
                <w:rFonts w:ascii="Arial Nova" w:eastAsia="Calibri" w:hAnsi="Arial Nova" w:cs="Arial"/>
                <w:sz w:val="18"/>
                <w:szCs w:val="18"/>
              </w:rPr>
              <w:t xml:space="preserve">Access issues </w:t>
            </w:r>
            <w:r w:rsidR="00865E81">
              <w:rPr>
                <w:rFonts w:ascii="Arial Nova" w:eastAsia="Calibri" w:hAnsi="Arial Nova" w:cs="Arial"/>
                <w:sz w:val="18"/>
                <w:szCs w:val="18"/>
              </w:rPr>
              <w:t xml:space="preserve">and </w:t>
            </w:r>
            <w:r w:rsidR="00865E81" w:rsidRPr="00266D52">
              <w:rPr>
                <w:rFonts w:ascii="Arial Nova" w:eastAsia="Calibri" w:hAnsi="Arial Nova" w:cs="Arial"/>
                <w:sz w:val="18"/>
                <w:szCs w:val="18"/>
              </w:rPr>
              <w:t>Covid</w:t>
            </w:r>
            <w:r w:rsidRPr="00266D52">
              <w:rPr>
                <w:rFonts w:ascii="Arial Nova" w:eastAsia="Calibri" w:hAnsi="Arial Nova" w:cs="Arial"/>
                <w:sz w:val="18"/>
                <w:szCs w:val="18"/>
              </w:rPr>
              <w:t xml:space="preserve"> </w:t>
            </w:r>
            <w:r>
              <w:rPr>
                <w:rFonts w:ascii="Arial Nova" w:eastAsia="Calibri" w:hAnsi="Arial Nova" w:cs="Arial"/>
                <w:sz w:val="18"/>
                <w:szCs w:val="18"/>
              </w:rPr>
              <w:t xml:space="preserve">19 </w:t>
            </w:r>
            <w:r w:rsidRPr="00266D52">
              <w:rPr>
                <w:rFonts w:ascii="Arial Nova" w:eastAsia="Calibri" w:hAnsi="Arial Nova" w:cs="Arial"/>
                <w:sz w:val="18"/>
                <w:szCs w:val="18"/>
              </w:rPr>
              <w:t>restrictions and working with vulnerable tenants</w:t>
            </w:r>
          </w:p>
        </w:tc>
        <w:tc>
          <w:tcPr>
            <w:tcW w:w="4606" w:type="dxa"/>
            <w:tcBorders>
              <w:top w:val="single" w:sz="4" w:space="0" w:color="000000"/>
              <w:left w:val="single" w:sz="4" w:space="0" w:color="000000"/>
              <w:bottom w:val="single" w:sz="4" w:space="0" w:color="000000"/>
              <w:right w:val="single" w:sz="4" w:space="0" w:color="000000"/>
            </w:tcBorders>
            <w:vAlign w:val="center"/>
          </w:tcPr>
          <w:p w14:paraId="1F034B06" w14:textId="77777777" w:rsidR="006808DD" w:rsidRPr="00266D52" w:rsidRDefault="006808DD" w:rsidP="006808DD">
            <w:pPr>
              <w:rPr>
                <w:rFonts w:ascii="Arial Nova" w:eastAsia="Calibri" w:hAnsi="Arial Nova" w:cs="Arial"/>
                <w:sz w:val="18"/>
                <w:szCs w:val="18"/>
              </w:rPr>
            </w:pPr>
            <w:r w:rsidRPr="00266D52">
              <w:rPr>
                <w:rFonts w:ascii="Arial Nova" w:eastAsia="Calibri" w:hAnsi="Arial Nova" w:cs="Arial"/>
                <w:sz w:val="18"/>
                <w:szCs w:val="18"/>
              </w:rPr>
              <w:t>Outcome of any resurgence of Covid19 restrictions and impact on the industry remain un</w:t>
            </w:r>
            <w:r>
              <w:rPr>
                <w:rFonts w:ascii="Arial Nova" w:eastAsia="Calibri" w:hAnsi="Arial Nova" w:cs="Arial"/>
                <w:sz w:val="18"/>
                <w:szCs w:val="18"/>
              </w:rPr>
              <w:t>certain</w:t>
            </w:r>
            <w:r w:rsidRPr="00266D52">
              <w:rPr>
                <w:rFonts w:ascii="Arial Nova" w:eastAsia="Calibri" w:hAnsi="Arial Nova" w:cs="Arial"/>
                <w:sz w:val="18"/>
                <w:szCs w:val="18"/>
              </w:rPr>
              <w:t xml:space="preserve">. This will be reviewed on </w:t>
            </w:r>
            <w:r>
              <w:rPr>
                <w:rFonts w:ascii="Arial Nova" w:eastAsia="Calibri" w:hAnsi="Arial Nova" w:cs="Arial"/>
                <w:sz w:val="18"/>
                <w:szCs w:val="18"/>
              </w:rPr>
              <w:t xml:space="preserve">a </w:t>
            </w:r>
            <w:r w:rsidRPr="00266D52">
              <w:rPr>
                <w:rFonts w:ascii="Arial Nova" w:eastAsia="Calibri" w:hAnsi="Arial Nova" w:cs="Arial"/>
                <w:sz w:val="18"/>
                <w:szCs w:val="18"/>
              </w:rPr>
              <w:t xml:space="preserve">regular basis to monitor </w:t>
            </w:r>
            <w:r>
              <w:rPr>
                <w:rFonts w:ascii="Arial Nova" w:eastAsia="Calibri" w:hAnsi="Arial Nova" w:cs="Arial"/>
                <w:sz w:val="18"/>
                <w:szCs w:val="18"/>
              </w:rPr>
              <w:t xml:space="preserve">performance </w:t>
            </w:r>
            <w:r w:rsidRPr="00266D52">
              <w:rPr>
                <w:rFonts w:ascii="Arial Nova" w:eastAsia="Calibri" w:hAnsi="Arial Nova" w:cs="Arial"/>
                <w:sz w:val="18"/>
                <w:szCs w:val="18"/>
              </w:rPr>
              <w:t>cost impact.</w:t>
            </w:r>
          </w:p>
          <w:p w14:paraId="5C61DB34" w14:textId="50634C11" w:rsidR="006808DD" w:rsidRPr="00266D52" w:rsidRDefault="006808DD" w:rsidP="006808DD">
            <w:pPr>
              <w:rPr>
                <w:rFonts w:ascii="Arial Nova" w:eastAsia="Calibri" w:hAnsi="Arial Nova" w:cs="Arial"/>
                <w:sz w:val="18"/>
                <w:szCs w:val="18"/>
              </w:rPr>
            </w:pPr>
            <w:r w:rsidRPr="00266D52">
              <w:rPr>
                <w:rFonts w:ascii="Arial Nova" w:eastAsia="Calibri" w:hAnsi="Arial Nova" w:cs="Arial"/>
                <w:sz w:val="18"/>
                <w:szCs w:val="18"/>
              </w:rPr>
              <w:t xml:space="preserve">Given the </w:t>
            </w:r>
            <w:r>
              <w:rPr>
                <w:rFonts w:ascii="Arial Nova" w:eastAsia="Calibri" w:hAnsi="Arial Nova" w:cs="Arial"/>
                <w:sz w:val="18"/>
                <w:szCs w:val="18"/>
              </w:rPr>
              <w:t xml:space="preserve">unknown vulnerability </w:t>
            </w:r>
            <w:r w:rsidRPr="00266D52">
              <w:rPr>
                <w:rFonts w:ascii="Arial Nova" w:eastAsia="Calibri" w:hAnsi="Arial Nova" w:cs="Arial"/>
                <w:sz w:val="18"/>
                <w:szCs w:val="18"/>
              </w:rPr>
              <w:t xml:space="preserve">of this resident group, the Council </w:t>
            </w:r>
            <w:r w:rsidR="00865E81" w:rsidRPr="00266D52">
              <w:rPr>
                <w:rFonts w:ascii="Arial Nova" w:eastAsia="Calibri" w:hAnsi="Arial Nova" w:cs="Arial"/>
                <w:sz w:val="18"/>
                <w:szCs w:val="18"/>
              </w:rPr>
              <w:t>will always insist on Covid safe procedures and PPE</w:t>
            </w:r>
            <w:r>
              <w:rPr>
                <w:rFonts w:ascii="Arial Nova" w:eastAsia="Calibri" w:hAnsi="Arial Nova" w:cs="Arial"/>
                <w:sz w:val="18"/>
                <w:szCs w:val="18"/>
              </w:rPr>
              <w:t xml:space="preserve"> regardless of the lessening national procedures.</w:t>
            </w:r>
          </w:p>
          <w:p w14:paraId="1EE4E44C" w14:textId="77777777" w:rsidR="006808DD" w:rsidRPr="00266D52" w:rsidRDefault="006808DD" w:rsidP="006808DD">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4E16EFCE" w14:textId="3123324F" w:rsidR="006808DD" w:rsidRDefault="006808DD" w:rsidP="006808DD">
            <w:pPr>
              <w:jc w:val="center"/>
              <w:rPr>
                <w:rFonts w:ascii="Arial Nova" w:eastAsia="Calibri" w:hAnsi="Arial Nova" w:cs="Arial"/>
                <w:sz w:val="18"/>
                <w:szCs w:val="18"/>
              </w:rPr>
            </w:pPr>
            <w:r>
              <w:rPr>
                <w:rFonts w:ascii="Arial Nova" w:eastAsia="Calibri" w:hAnsi="Arial Nova" w:cs="Arial"/>
                <w:color w:val="FFFFFF" w:themeColor="background1"/>
                <w:sz w:val="18"/>
                <w:szCs w:val="18"/>
              </w:rPr>
              <w:t>Red</w:t>
            </w:r>
          </w:p>
        </w:tc>
      </w:tr>
      <w:tr w:rsidR="006808DD" w:rsidRPr="00266D52" w14:paraId="6D4113A8" w14:textId="77777777" w:rsidTr="00E342A2">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3D5E5" w14:textId="4A359164" w:rsidR="006808DD" w:rsidRPr="003612AC" w:rsidRDefault="006808DD" w:rsidP="006808DD">
            <w:pPr>
              <w:ind w:right="141"/>
              <w:rPr>
                <w:rFonts w:ascii="Arial Nova" w:eastAsia="Calibri" w:hAnsi="Arial Nova" w:cs="Arial"/>
                <w:b/>
                <w:bCs/>
                <w:sz w:val="18"/>
                <w:szCs w:val="18"/>
              </w:rPr>
            </w:pPr>
            <w:r w:rsidRPr="003612AC">
              <w:rPr>
                <w:rFonts w:ascii="Arial Nova" w:eastAsia="Calibri" w:hAnsi="Arial Nova" w:cs="Arial"/>
                <w:b/>
                <w:bCs/>
                <w:sz w:val="18"/>
                <w:szCs w:val="18"/>
              </w:rPr>
              <w:t>Materials Shortages and Delivery issues</w:t>
            </w:r>
          </w:p>
        </w:tc>
        <w:tc>
          <w:tcPr>
            <w:tcW w:w="4606" w:type="dxa"/>
            <w:tcBorders>
              <w:top w:val="single" w:sz="4" w:space="0" w:color="000000"/>
              <w:left w:val="single" w:sz="4" w:space="0" w:color="000000"/>
              <w:bottom w:val="single" w:sz="4" w:space="0" w:color="000000"/>
              <w:right w:val="single" w:sz="4" w:space="0" w:color="000000"/>
            </w:tcBorders>
            <w:vAlign w:val="center"/>
          </w:tcPr>
          <w:p w14:paraId="723162AB" w14:textId="279FA105" w:rsidR="006808DD" w:rsidRPr="00266D52" w:rsidRDefault="006808DD" w:rsidP="006808DD">
            <w:pPr>
              <w:rPr>
                <w:rFonts w:ascii="Arial Nova" w:eastAsia="Calibri" w:hAnsi="Arial Nova" w:cs="Arial"/>
                <w:sz w:val="18"/>
                <w:szCs w:val="18"/>
              </w:rPr>
            </w:pPr>
            <w:r w:rsidRPr="00AD0F83">
              <w:rPr>
                <w:rFonts w:ascii="Arial Nova" w:eastAsia="Calibri" w:hAnsi="Arial Nova" w:cs="Arial"/>
                <w:sz w:val="18"/>
                <w:szCs w:val="18"/>
              </w:rPr>
              <w:t>Materials delay will risk a claim by the contractor for extension(s) of time to the contract increasing contract costs and requiring more budget.  Placing an order (letter of intent) for surveys and pre ordering of materials will assist in reducing delays to the contract and the risks of Extensions of time.</w:t>
            </w:r>
          </w:p>
        </w:tc>
        <w:tc>
          <w:tcPr>
            <w:tcW w:w="187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6BA327F7" w14:textId="13F66B9C" w:rsidR="006808DD" w:rsidRDefault="006808DD" w:rsidP="006808DD">
            <w:pPr>
              <w:jc w:val="center"/>
              <w:rPr>
                <w:rFonts w:ascii="Arial Nova" w:eastAsia="Calibri" w:hAnsi="Arial Nova" w:cs="Arial"/>
                <w:color w:val="FFFFFF" w:themeColor="background1"/>
                <w:sz w:val="18"/>
                <w:szCs w:val="18"/>
              </w:rPr>
            </w:pPr>
            <w:r>
              <w:rPr>
                <w:rFonts w:ascii="Arial Nova" w:eastAsia="Calibri" w:hAnsi="Arial Nova" w:cs="Arial"/>
                <w:color w:val="FFFFFF" w:themeColor="background1"/>
                <w:sz w:val="18"/>
                <w:szCs w:val="18"/>
              </w:rPr>
              <w:t>Red</w:t>
            </w:r>
          </w:p>
        </w:tc>
      </w:tr>
      <w:tr w:rsidR="003612AC" w:rsidRPr="00266D52" w14:paraId="066A78A0" w14:textId="77777777" w:rsidTr="00E342A2">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1EF05" w14:textId="49538659" w:rsidR="003612AC" w:rsidRPr="003612AC" w:rsidRDefault="003612AC" w:rsidP="006808DD">
            <w:pPr>
              <w:ind w:right="141"/>
              <w:rPr>
                <w:rFonts w:ascii="Arial Nova" w:eastAsia="Calibri" w:hAnsi="Arial Nova" w:cs="Arial"/>
                <w:b/>
                <w:bCs/>
                <w:sz w:val="18"/>
                <w:szCs w:val="18"/>
              </w:rPr>
            </w:pPr>
            <w:r w:rsidRPr="003612AC">
              <w:rPr>
                <w:rFonts w:ascii="Arial Nova" w:eastAsia="Calibri" w:hAnsi="Arial Nova" w:cs="Arial"/>
                <w:b/>
                <w:bCs/>
                <w:sz w:val="18"/>
                <w:szCs w:val="18"/>
              </w:rPr>
              <w:t>Fire safety compliance risk if project does not go ahead</w:t>
            </w:r>
          </w:p>
        </w:tc>
        <w:tc>
          <w:tcPr>
            <w:tcW w:w="4606" w:type="dxa"/>
            <w:tcBorders>
              <w:top w:val="single" w:sz="4" w:space="0" w:color="000000"/>
              <w:left w:val="single" w:sz="4" w:space="0" w:color="000000"/>
              <w:bottom w:val="single" w:sz="4" w:space="0" w:color="000000"/>
              <w:right w:val="single" w:sz="4" w:space="0" w:color="000000"/>
            </w:tcBorders>
            <w:vAlign w:val="center"/>
          </w:tcPr>
          <w:p w14:paraId="29CD7C43" w14:textId="77777777" w:rsidR="003612AC" w:rsidRPr="003612AC" w:rsidRDefault="003612AC" w:rsidP="003612AC">
            <w:pPr>
              <w:rPr>
                <w:rFonts w:ascii="Arial Nova" w:eastAsia="Calibri" w:hAnsi="Arial Nova" w:cs="Arial"/>
                <w:sz w:val="18"/>
                <w:szCs w:val="18"/>
              </w:rPr>
            </w:pPr>
            <w:r w:rsidRPr="003612AC">
              <w:rPr>
                <w:rFonts w:ascii="Arial Nova" w:eastAsia="Calibri" w:hAnsi="Arial Nova" w:cs="Arial"/>
                <w:sz w:val="18"/>
                <w:szCs w:val="18"/>
              </w:rPr>
              <w:t>Rephase and target speedy delivery by splitting HomeSafe project into constituent elements for delivery (Fire Doors, Emergency Lighting, Compartmentation, Alarms)</w:t>
            </w:r>
          </w:p>
          <w:p w14:paraId="4B24E5D7" w14:textId="77777777" w:rsidR="003612AC" w:rsidRPr="003612AC" w:rsidRDefault="003612AC" w:rsidP="003612AC">
            <w:pPr>
              <w:rPr>
                <w:rFonts w:ascii="Arial Nova" w:eastAsia="Calibri" w:hAnsi="Arial Nova" w:cs="Arial"/>
                <w:sz w:val="18"/>
                <w:szCs w:val="18"/>
              </w:rPr>
            </w:pPr>
            <w:r w:rsidRPr="003612AC">
              <w:rPr>
                <w:rFonts w:ascii="Arial Nova" w:eastAsia="Calibri" w:hAnsi="Arial Nova" w:cs="Arial"/>
                <w:sz w:val="18"/>
                <w:szCs w:val="18"/>
              </w:rPr>
              <w:t>This provides the opportunity to work with specialist contractors (not sub-contractors) on a Just-In-Time basis that addresses the various priorities currently packaged under HomeSafe.</w:t>
            </w:r>
          </w:p>
          <w:p w14:paraId="6192383A" w14:textId="77777777" w:rsidR="003612AC" w:rsidRPr="003612AC" w:rsidRDefault="003612AC" w:rsidP="003612AC">
            <w:pPr>
              <w:rPr>
                <w:rFonts w:ascii="Arial Nova" w:eastAsia="Calibri" w:hAnsi="Arial Nova" w:cs="Arial"/>
                <w:sz w:val="18"/>
                <w:szCs w:val="18"/>
              </w:rPr>
            </w:pPr>
            <w:r w:rsidRPr="003612AC">
              <w:rPr>
                <w:rFonts w:ascii="Arial Nova" w:eastAsia="Calibri" w:hAnsi="Arial Nova" w:cs="Arial"/>
                <w:sz w:val="18"/>
                <w:szCs w:val="18"/>
              </w:rPr>
              <w:t>Efficient budget management through the procurement and delivery of dedicated projects that operate on an elemental basis, as opposed to a communal works package.</w:t>
            </w:r>
          </w:p>
          <w:p w14:paraId="766B70EC" w14:textId="77777777" w:rsidR="003612AC" w:rsidRPr="00AD0F83" w:rsidRDefault="003612AC" w:rsidP="006808DD">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12D81356" w14:textId="1D60CF74" w:rsidR="003612AC" w:rsidRDefault="003612AC" w:rsidP="006808DD">
            <w:pPr>
              <w:jc w:val="center"/>
              <w:rPr>
                <w:rFonts w:ascii="Arial Nova" w:eastAsia="Calibri" w:hAnsi="Arial Nova" w:cs="Arial"/>
                <w:color w:val="FFFFFF" w:themeColor="background1"/>
                <w:sz w:val="18"/>
                <w:szCs w:val="18"/>
              </w:rPr>
            </w:pPr>
            <w:r>
              <w:rPr>
                <w:rFonts w:ascii="Arial Nova" w:eastAsia="Calibri" w:hAnsi="Arial Nova" w:cs="Arial"/>
                <w:color w:val="FFFFFF" w:themeColor="background1"/>
                <w:sz w:val="18"/>
                <w:szCs w:val="18"/>
              </w:rPr>
              <w:t>Red</w:t>
            </w:r>
          </w:p>
        </w:tc>
      </w:tr>
      <w:tr w:rsidR="000E7DA4" w:rsidRPr="00266D52" w14:paraId="64F7162A" w14:textId="77777777" w:rsidTr="00E342A2">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16FA7" w14:textId="53C1F454" w:rsidR="000E7DA4" w:rsidRPr="003612AC" w:rsidRDefault="000E7DA4" w:rsidP="006808DD">
            <w:pPr>
              <w:ind w:right="141"/>
              <w:rPr>
                <w:rFonts w:ascii="Arial Nova" w:eastAsia="Calibri" w:hAnsi="Arial Nova" w:cs="Arial"/>
                <w:b/>
                <w:bCs/>
                <w:sz w:val="18"/>
                <w:szCs w:val="18"/>
              </w:rPr>
            </w:pPr>
            <w:r>
              <w:rPr>
                <w:rFonts w:ascii="Arial Nova" w:eastAsia="Calibri" w:hAnsi="Arial Nova" w:cs="Arial"/>
                <w:b/>
                <w:bCs/>
                <w:sz w:val="18"/>
                <w:szCs w:val="18"/>
              </w:rPr>
              <w:t>Resident safety compromised if project does not go ahead</w:t>
            </w:r>
          </w:p>
        </w:tc>
        <w:tc>
          <w:tcPr>
            <w:tcW w:w="4606" w:type="dxa"/>
            <w:tcBorders>
              <w:top w:val="single" w:sz="4" w:space="0" w:color="000000"/>
              <w:left w:val="single" w:sz="4" w:space="0" w:color="000000"/>
              <w:bottom w:val="single" w:sz="4" w:space="0" w:color="000000"/>
              <w:right w:val="single" w:sz="4" w:space="0" w:color="000000"/>
            </w:tcBorders>
            <w:vAlign w:val="center"/>
          </w:tcPr>
          <w:p w14:paraId="2EBC1FF8" w14:textId="77777777" w:rsidR="000E7DA4" w:rsidRPr="000E7DA4" w:rsidRDefault="000E7DA4" w:rsidP="000E7DA4">
            <w:pPr>
              <w:rPr>
                <w:rFonts w:ascii="Arial Nova" w:eastAsia="Calibri" w:hAnsi="Arial Nova" w:cs="Arial"/>
                <w:sz w:val="18"/>
                <w:szCs w:val="18"/>
              </w:rPr>
            </w:pPr>
            <w:r w:rsidRPr="000E7DA4">
              <w:rPr>
                <w:rFonts w:ascii="Arial Nova" w:eastAsia="Calibri" w:hAnsi="Arial Nova" w:cs="Arial"/>
                <w:sz w:val="18"/>
                <w:szCs w:val="18"/>
              </w:rPr>
              <w:t>Security works will be split by priority, with priority 1 items being dealt with through responsive repairs such as referrals due to ASB or critical elements of disrepair to communal doors (capitalised where necessary).</w:t>
            </w:r>
          </w:p>
          <w:p w14:paraId="02232F8F" w14:textId="2984A4E0" w:rsidR="000E7DA4" w:rsidRPr="000E7DA4" w:rsidRDefault="000E7DA4" w:rsidP="000E7DA4">
            <w:pPr>
              <w:rPr>
                <w:rFonts w:ascii="Arial Nova" w:eastAsia="Calibri" w:hAnsi="Arial Nova" w:cs="Arial"/>
                <w:sz w:val="18"/>
                <w:szCs w:val="18"/>
              </w:rPr>
            </w:pPr>
            <w:r w:rsidRPr="000E7DA4">
              <w:rPr>
                <w:rFonts w:ascii="Arial Nova" w:eastAsia="Calibri" w:hAnsi="Arial Nova" w:cs="Arial"/>
                <w:sz w:val="18"/>
                <w:szCs w:val="18"/>
              </w:rPr>
              <w:t xml:space="preserve">Priority 2 blocks will be phased into a separate dedicated programme of communal door works </w:t>
            </w:r>
            <w:r w:rsidR="00CC6CBF" w:rsidRPr="000E7DA4">
              <w:rPr>
                <w:rFonts w:ascii="Arial Nova" w:eastAsia="Calibri" w:hAnsi="Arial Nova" w:cs="Arial"/>
                <w:sz w:val="18"/>
                <w:szCs w:val="18"/>
              </w:rPr>
              <w:t>commencing 2022</w:t>
            </w:r>
            <w:r w:rsidRPr="000E7DA4">
              <w:rPr>
                <w:rFonts w:ascii="Arial Nova" w:eastAsia="Calibri" w:hAnsi="Arial Nova" w:cs="Arial"/>
                <w:sz w:val="18"/>
                <w:szCs w:val="18"/>
              </w:rPr>
              <w:t xml:space="preserve">/23.  These priority 2 blocks were due a specification </w:t>
            </w:r>
            <w:r w:rsidRPr="000E7DA4">
              <w:rPr>
                <w:rFonts w:ascii="Arial Nova" w:eastAsia="Calibri" w:hAnsi="Arial Nova" w:cs="Arial"/>
                <w:sz w:val="18"/>
                <w:szCs w:val="18"/>
              </w:rPr>
              <w:lastRenderedPageBreak/>
              <w:t>upgrade based on the previous Better Homes Standard, which has since been replaced by the Just-in-Time methodology (part of the current asset management strategy).  i.e.  there are no specific security concerns which amount to a failure of compliance or existing legislation, rather, they were part of a Borough wide standard and programme to improve security across blocks and estates.</w:t>
            </w:r>
          </w:p>
          <w:p w14:paraId="7A653CF2" w14:textId="77777777" w:rsidR="000E7DA4" w:rsidRPr="003612AC" w:rsidRDefault="000E7DA4" w:rsidP="003612AC">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18E0039B" w14:textId="20004649" w:rsidR="000E7DA4" w:rsidRDefault="000E7DA4" w:rsidP="006808DD">
            <w:pPr>
              <w:jc w:val="center"/>
              <w:rPr>
                <w:rFonts w:ascii="Arial Nova" w:eastAsia="Calibri" w:hAnsi="Arial Nova" w:cs="Arial"/>
                <w:color w:val="FFFFFF" w:themeColor="background1"/>
                <w:sz w:val="18"/>
                <w:szCs w:val="18"/>
              </w:rPr>
            </w:pPr>
            <w:r>
              <w:rPr>
                <w:rFonts w:ascii="Arial Nova" w:eastAsia="Calibri" w:hAnsi="Arial Nova" w:cs="Arial"/>
                <w:color w:val="FFFFFF" w:themeColor="background1"/>
                <w:sz w:val="18"/>
                <w:szCs w:val="18"/>
              </w:rPr>
              <w:lastRenderedPageBreak/>
              <w:t>Red</w:t>
            </w:r>
          </w:p>
        </w:tc>
      </w:tr>
      <w:tr w:rsidR="000E7DA4" w:rsidRPr="00266D52" w14:paraId="3FCA0685" w14:textId="77777777" w:rsidTr="00E342A2">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4E770" w14:textId="5261008A" w:rsidR="000E7DA4" w:rsidRPr="003612AC" w:rsidRDefault="000E7DA4" w:rsidP="006808DD">
            <w:pPr>
              <w:ind w:right="141"/>
              <w:rPr>
                <w:rFonts w:ascii="Arial Nova" w:eastAsia="Calibri" w:hAnsi="Arial Nova" w:cs="Arial"/>
                <w:b/>
                <w:bCs/>
                <w:sz w:val="18"/>
                <w:szCs w:val="18"/>
              </w:rPr>
            </w:pPr>
            <w:r>
              <w:rPr>
                <w:rFonts w:ascii="Arial Nova" w:eastAsia="Calibri" w:hAnsi="Arial Nova" w:cs="Arial"/>
                <w:b/>
                <w:bCs/>
                <w:sz w:val="18"/>
                <w:szCs w:val="18"/>
              </w:rPr>
              <w:t>R</w:t>
            </w:r>
            <w:r w:rsidRPr="000E7DA4">
              <w:rPr>
                <w:rFonts w:ascii="Arial Nova" w:eastAsia="Calibri" w:hAnsi="Arial Nova" w:cs="Arial"/>
                <w:b/>
                <w:bCs/>
                <w:sz w:val="18"/>
                <w:szCs w:val="18"/>
              </w:rPr>
              <w:t>isk of additional costs for decoration/flooring as a result of these works.</w:t>
            </w:r>
          </w:p>
        </w:tc>
        <w:tc>
          <w:tcPr>
            <w:tcW w:w="4606" w:type="dxa"/>
            <w:tcBorders>
              <w:top w:val="single" w:sz="4" w:space="0" w:color="000000"/>
              <w:left w:val="single" w:sz="4" w:space="0" w:color="000000"/>
              <w:bottom w:val="single" w:sz="4" w:space="0" w:color="000000"/>
              <w:right w:val="single" w:sz="4" w:space="0" w:color="000000"/>
            </w:tcBorders>
            <w:vAlign w:val="center"/>
          </w:tcPr>
          <w:p w14:paraId="6BB77C55" w14:textId="77777777" w:rsidR="000E7DA4" w:rsidRDefault="000E7DA4" w:rsidP="003612AC">
            <w:pPr>
              <w:rPr>
                <w:rFonts w:ascii="Arial Nova" w:eastAsia="Calibri" w:hAnsi="Arial Nova" w:cs="Arial"/>
                <w:sz w:val="18"/>
                <w:szCs w:val="18"/>
              </w:rPr>
            </w:pPr>
            <w:r>
              <w:rPr>
                <w:rFonts w:ascii="Arial Nova" w:eastAsia="Calibri" w:hAnsi="Arial Nova" w:cs="Arial"/>
                <w:sz w:val="18"/>
                <w:szCs w:val="18"/>
              </w:rPr>
              <w:t>Any immediate H&amp;S works identified on site will be managed by variation to the contract to rectify any issues.</w:t>
            </w:r>
          </w:p>
          <w:p w14:paraId="4DF38FDE" w14:textId="77777777" w:rsidR="000E7DA4" w:rsidRPr="000E7DA4" w:rsidRDefault="000E7DA4" w:rsidP="000E7DA4">
            <w:pPr>
              <w:rPr>
                <w:rFonts w:ascii="Arial Nova" w:eastAsia="Calibri" w:hAnsi="Arial Nova" w:cs="Arial"/>
                <w:sz w:val="18"/>
                <w:szCs w:val="18"/>
              </w:rPr>
            </w:pPr>
            <w:r w:rsidRPr="000E7DA4">
              <w:rPr>
                <w:rFonts w:ascii="Arial Nova" w:eastAsia="Calibri" w:hAnsi="Arial Nova" w:cs="Arial"/>
                <w:sz w:val="18"/>
                <w:szCs w:val="18"/>
              </w:rPr>
              <w:t>Further to the above, a new Planned Preventative Maintenance programme commencing 2022/23 will deal with revenue-led items such as communal decorations across the common-part spaces identified in HomeSafe programme.</w:t>
            </w:r>
          </w:p>
          <w:p w14:paraId="3D4F9F96" w14:textId="3FD8656A" w:rsidR="000E7DA4" w:rsidRPr="003612AC" w:rsidRDefault="000E7DA4" w:rsidP="003612AC">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32AA068C" w14:textId="7E7B7712" w:rsidR="000E7DA4" w:rsidRDefault="000E7DA4" w:rsidP="006808DD">
            <w:pPr>
              <w:jc w:val="center"/>
              <w:rPr>
                <w:rFonts w:ascii="Arial Nova" w:eastAsia="Calibri" w:hAnsi="Arial Nova" w:cs="Arial"/>
                <w:color w:val="FFFFFF" w:themeColor="background1"/>
                <w:sz w:val="18"/>
                <w:szCs w:val="18"/>
              </w:rPr>
            </w:pPr>
            <w:r>
              <w:rPr>
                <w:rFonts w:ascii="Arial Nova" w:eastAsia="Calibri" w:hAnsi="Arial Nova" w:cs="Arial"/>
                <w:color w:val="FFFFFF" w:themeColor="background1"/>
                <w:sz w:val="18"/>
                <w:szCs w:val="18"/>
              </w:rPr>
              <w:t>Red</w:t>
            </w:r>
          </w:p>
        </w:tc>
      </w:tr>
    </w:tbl>
    <w:p w14:paraId="0249BBDB" w14:textId="1BED729E" w:rsidR="002A3FEF" w:rsidRDefault="00F35D92" w:rsidP="00A1211C">
      <w:pPr>
        <w:pStyle w:val="Heading3"/>
        <w:spacing w:before="480" w:after="240"/>
      </w:pPr>
      <w:r>
        <w:t>2.9</w:t>
      </w:r>
      <w:r w:rsidR="00F643B1">
        <w:t xml:space="preserve">. </w:t>
      </w:r>
      <w:r w:rsidR="002A3FEF">
        <w:t>Procurement Implications</w:t>
      </w:r>
    </w:p>
    <w:p w14:paraId="2D2587BC" w14:textId="77777777" w:rsidR="00BE4492" w:rsidRDefault="00D0336D" w:rsidP="00AA790E">
      <w:pPr>
        <w:jc w:val="both"/>
        <w:outlineLvl w:val="1"/>
      </w:pPr>
      <w:r>
        <w:t>On approval to commence a tender exercise as per recommendation number 2</w:t>
      </w:r>
      <w:r w:rsidR="00676BE0">
        <w:t xml:space="preserve">, the procurement team will work with colleagues from the service area to prepare an Invitation to Tender </w:t>
      </w:r>
      <w:r w:rsidR="0004786E">
        <w:t xml:space="preserve">and use an </w:t>
      </w:r>
      <w:r w:rsidR="00580487">
        <w:t>open market procurement route</w:t>
      </w:r>
      <w:r w:rsidR="00BE4492">
        <w:t xml:space="preserve"> as permitted by the Public Contract Regulations 2015. </w:t>
      </w:r>
    </w:p>
    <w:p w14:paraId="6DD19679" w14:textId="77777777" w:rsidR="00BE4492" w:rsidRDefault="00BE4492" w:rsidP="00AA790E">
      <w:pPr>
        <w:jc w:val="both"/>
        <w:outlineLvl w:val="1"/>
      </w:pPr>
    </w:p>
    <w:p w14:paraId="5B1399C9" w14:textId="2D8AA6C0" w:rsidR="006E2AB5" w:rsidRDefault="00580487" w:rsidP="00AA790E">
      <w:pPr>
        <w:jc w:val="both"/>
        <w:outlineLvl w:val="1"/>
      </w:pPr>
      <w:r>
        <w:t xml:space="preserve">This </w:t>
      </w:r>
      <w:r w:rsidR="003100B0">
        <w:t>procurement route</w:t>
      </w:r>
      <w:r w:rsidR="002521AA">
        <w:t xml:space="preserve"> will</w:t>
      </w:r>
      <w:r>
        <w:t xml:space="preserve"> </w:t>
      </w:r>
      <w:r w:rsidR="00BE4492">
        <w:t xml:space="preserve">generate competition in the market to deliver this service </w:t>
      </w:r>
      <w:r w:rsidR="003100B0">
        <w:t>and ensure we have maximised</w:t>
      </w:r>
      <w:r w:rsidR="002521AA">
        <w:t xml:space="preserve"> the chances of creating competition for this work and getting the best possible </w:t>
      </w:r>
      <w:r w:rsidR="006E2AB5">
        <w:t>quality and value outcome.</w:t>
      </w:r>
      <w:r w:rsidR="00A65B6A">
        <w:t xml:space="preserve"> Opportunities will arise </w:t>
      </w:r>
      <w:r w:rsidR="00864B58">
        <w:t xml:space="preserve">for </w:t>
      </w:r>
      <w:r w:rsidR="00864B58">
        <w:rPr>
          <w:rFonts w:cs="Arial"/>
        </w:rPr>
        <w:t>procurement to be jointly undertaken with the Estates commercial procurement for fire doors.</w:t>
      </w:r>
    </w:p>
    <w:p w14:paraId="0013D302" w14:textId="77777777" w:rsidR="006E2AB5" w:rsidRDefault="006E2AB5" w:rsidP="00AA790E">
      <w:pPr>
        <w:jc w:val="both"/>
        <w:outlineLvl w:val="1"/>
      </w:pPr>
    </w:p>
    <w:p w14:paraId="63AB5E75" w14:textId="62736F1B" w:rsidR="00012883" w:rsidRDefault="006E2AB5" w:rsidP="00AA790E">
      <w:pPr>
        <w:jc w:val="both"/>
        <w:outlineLvl w:val="1"/>
      </w:pPr>
      <w:r>
        <w:t xml:space="preserve">We will award to the Most Economically Advantageous Tender </w:t>
      </w:r>
      <w:r w:rsidR="00B2230A">
        <w:t xml:space="preserve">and that this process is conducted compliant to </w:t>
      </w:r>
      <w:r w:rsidR="002421EC">
        <w:t>the Public Contract Regulations and our own Contract Procedure Rules.</w:t>
      </w:r>
      <w:r w:rsidR="003100B0">
        <w:t xml:space="preserve"> </w:t>
      </w:r>
      <w:r w:rsidR="00580487">
        <w:t xml:space="preserve"> </w:t>
      </w:r>
    </w:p>
    <w:p w14:paraId="44413A6E" w14:textId="62F0E018" w:rsidR="00333FAA" w:rsidRDefault="00CC16F7" w:rsidP="00012883">
      <w:pPr>
        <w:pStyle w:val="Heading3"/>
        <w:spacing w:before="480" w:after="240"/>
      </w:pPr>
      <w:r>
        <w:t>2.10</w:t>
      </w:r>
      <w:r w:rsidR="00223FF5">
        <w:t xml:space="preserve"> </w:t>
      </w:r>
      <w:r w:rsidR="00333FAA">
        <w:t>Legal Implications</w:t>
      </w:r>
    </w:p>
    <w:p w14:paraId="3EEA0D8E" w14:textId="21845357" w:rsidR="000531F4" w:rsidRPr="00793B29" w:rsidRDefault="00A33736" w:rsidP="000531F4">
      <w:r w:rsidRPr="00793B29">
        <w:t>2.10.1</w:t>
      </w:r>
      <w:r w:rsidRPr="00793B29">
        <w:tab/>
      </w:r>
      <w:r w:rsidR="000531F4" w:rsidRPr="00793B29">
        <w:t>On 19 March 2020 Cabinet resolved that:</w:t>
      </w:r>
    </w:p>
    <w:p w14:paraId="3416E1FE" w14:textId="77777777" w:rsidR="000531F4" w:rsidRPr="00793B29" w:rsidRDefault="000531F4" w:rsidP="000531F4"/>
    <w:p w14:paraId="6CE8AC35" w14:textId="77777777" w:rsidR="000531F4" w:rsidRPr="00793B29" w:rsidRDefault="000531F4" w:rsidP="00953334">
      <w:pPr>
        <w:ind w:left="720"/>
        <w:jc w:val="both"/>
      </w:pPr>
      <w:r w:rsidRPr="00793B29">
        <w:t xml:space="preserve">(1) the Divisional Director of Housing be authorised to undertake a procurement process for a contractor or contractors to deliver a variety of Security, H&amp;S Compliance &amp; common parts works, including fire safety works as part of general improvements to the safety of HRA dwelling stock, funded entirely from HRA Capital resources in financial years 2020 and 2021 (rolling over into year 2022); </w:t>
      </w:r>
    </w:p>
    <w:p w14:paraId="35234C6A" w14:textId="77777777" w:rsidR="000531F4" w:rsidRPr="00793B29" w:rsidRDefault="000531F4" w:rsidP="000531F4"/>
    <w:p w14:paraId="1A5CCD52" w14:textId="660F1377" w:rsidR="00740947" w:rsidRPr="00793B29" w:rsidRDefault="000531F4" w:rsidP="00953334">
      <w:pPr>
        <w:ind w:left="720"/>
        <w:jc w:val="both"/>
      </w:pPr>
      <w:r w:rsidRPr="00793B29">
        <w:t>(2) the Corporate Director of Community be authorised, following consultation with the Portfolio Holder for Housing and the Portfolio Holder for Finance and Resources, together with the Director of Finance, to enter into the procurement and implementation of the contract(s) to the value specified in the capital programme</w:t>
      </w:r>
      <w:r w:rsidR="004D198E" w:rsidRPr="00793B29">
        <w:t xml:space="preserve"> </w:t>
      </w:r>
      <w:r w:rsidR="00E419C5" w:rsidRPr="00793B29">
        <w:t>[up to £2.4m]</w:t>
      </w:r>
      <w:r w:rsidRPr="00793B29">
        <w:t>.</w:t>
      </w:r>
    </w:p>
    <w:p w14:paraId="4C30C0E2" w14:textId="05648A27" w:rsidR="00466C2B" w:rsidRPr="00793B29" w:rsidRDefault="00466C2B" w:rsidP="000531F4"/>
    <w:p w14:paraId="3AB30F43" w14:textId="435BC826" w:rsidR="005F50C2" w:rsidRPr="00793B29" w:rsidRDefault="00A33736" w:rsidP="00953334">
      <w:pPr>
        <w:ind w:left="720" w:hanging="720"/>
        <w:jc w:val="both"/>
      </w:pPr>
      <w:r w:rsidRPr="00793B29">
        <w:t>2.10.2</w:t>
      </w:r>
      <w:r w:rsidRPr="00793B29">
        <w:tab/>
      </w:r>
      <w:r w:rsidR="001700E3" w:rsidRPr="00793B29">
        <w:t xml:space="preserve">The Council’s Contract Procedure Rules </w:t>
      </w:r>
      <w:r w:rsidRPr="00793B29">
        <w:t xml:space="preserve">and Financial Regulations </w:t>
      </w:r>
      <w:r w:rsidR="001700E3" w:rsidRPr="00793B29">
        <w:t xml:space="preserve">require that procurement of </w:t>
      </w:r>
      <w:r w:rsidR="005F50C2" w:rsidRPr="00793B29">
        <w:t xml:space="preserve">goods, services, or woks with a value over </w:t>
      </w:r>
      <w:r w:rsidR="001700E3" w:rsidRPr="00793B29">
        <w:lastRenderedPageBreak/>
        <w:t>£500,000 must obtain cabinet approval</w:t>
      </w:r>
      <w:r w:rsidR="005F50C2" w:rsidRPr="00793B29">
        <w:t xml:space="preserve">. Although </w:t>
      </w:r>
      <w:r w:rsidR="00C85706" w:rsidRPr="00793B29">
        <w:t xml:space="preserve">cabinet previously approved the procurement of Homesafe works up to £2.4m, the </w:t>
      </w:r>
      <w:r w:rsidR="00265E43" w:rsidRPr="00793B29">
        <w:t xml:space="preserve">additional works </w:t>
      </w:r>
      <w:r w:rsidR="002330F7" w:rsidRPr="00793B29">
        <w:t xml:space="preserve">and value of </w:t>
      </w:r>
      <w:r w:rsidR="00E419C5" w:rsidRPr="00793B29">
        <w:t xml:space="preserve">up to </w:t>
      </w:r>
      <w:r w:rsidR="002330F7" w:rsidRPr="00793B29">
        <w:t xml:space="preserve">£1.6m </w:t>
      </w:r>
      <w:r w:rsidR="00265E43" w:rsidRPr="00793B29">
        <w:t>require</w:t>
      </w:r>
      <w:r w:rsidR="002330F7" w:rsidRPr="00793B29">
        <w:t xml:space="preserve"> </w:t>
      </w:r>
      <w:r w:rsidR="00082CEC" w:rsidRPr="00793B29">
        <w:t>further</w:t>
      </w:r>
      <w:r w:rsidR="00265E43" w:rsidRPr="00793B29">
        <w:t xml:space="preserve"> </w:t>
      </w:r>
      <w:r w:rsidR="002330F7" w:rsidRPr="00793B29">
        <w:t xml:space="preserve">cabinet </w:t>
      </w:r>
      <w:r w:rsidR="00265E43" w:rsidRPr="00793B29">
        <w:t>approval</w:t>
      </w:r>
      <w:r w:rsidR="002330F7" w:rsidRPr="00793B29">
        <w:t>.</w:t>
      </w:r>
    </w:p>
    <w:p w14:paraId="348ECFFA" w14:textId="65CD878E" w:rsidR="005C3B08" w:rsidRPr="00793B29" w:rsidRDefault="005C3B08" w:rsidP="000531F4"/>
    <w:p w14:paraId="18D63558" w14:textId="0926E160" w:rsidR="005C3B08" w:rsidRPr="00793B29" w:rsidRDefault="00A33736" w:rsidP="00953334">
      <w:pPr>
        <w:ind w:left="720" w:hanging="720"/>
        <w:jc w:val="both"/>
      </w:pPr>
      <w:r w:rsidRPr="00793B29">
        <w:t>2.10.3</w:t>
      </w:r>
      <w:r w:rsidRPr="00793B29">
        <w:tab/>
      </w:r>
      <w:r w:rsidR="005C3B08" w:rsidRPr="00793B29">
        <w:t xml:space="preserve">The works are below the financial threshold </w:t>
      </w:r>
      <w:r w:rsidR="00601FBB" w:rsidRPr="00793B29">
        <w:t>above which T</w:t>
      </w:r>
      <w:r w:rsidR="005C3B08" w:rsidRPr="00793B29">
        <w:t>he Public Contracts Regulations 2015 apply</w:t>
      </w:r>
      <w:r w:rsidR="00601FBB" w:rsidRPr="00793B29">
        <w:t xml:space="preserve">, so the council does not need to advertise on Find a </w:t>
      </w:r>
      <w:r w:rsidR="00F3062A" w:rsidRPr="00793B29">
        <w:t>Tender and</w:t>
      </w:r>
      <w:r w:rsidR="00601FBB" w:rsidRPr="00793B29">
        <w:t xml:space="preserve"> </w:t>
      </w:r>
      <w:r w:rsidR="00E419C5" w:rsidRPr="00793B29">
        <w:t xml:space="preserve">can </w:t>
      </w:r>
      <w:r w:rsidR="00601FBB" w:rsidRPr="00793B29">
        <w:t xml:space="preserve">procure via the London </w:t>
      </w:r>
      <w:r w:rsidR="006A36FC" w:rsidRPr="00793B29">
        <w:t>Tenders Portal</w:t>
      </w:r>
      <w:r w:rsidR="00E419C5" w:rsidRPr="00793B29">
        <w:t xml:space="preserve"> only.</w:t>
      </w:r>
    </w:p>
    <w:p w14:paraId="3C667E0D" w14:textId="42FE94E2" w:rsidR="00A33736" w:rsidRPr="00793B29" w:rsidRDefault="00A33736" w:rsidP="000531F4"/>
    <w:p w14:paraId="27B15D78" w14:textId="4926F431" w:rsidR="00A33736" w:rsidRPr="00793B29" w:rsidRDefault="00A33736" w:rsidP="00953334">
      <w:pPr>
        <w:jc w:val="both"/>
      </w:pPr>
      <w:r w:rsidRPr="00793B29">
        <w:t>2.10.4</w:t>
      </w:r>
      <w:r w:rsidRPr="00793B29">
        <w:tab/>
        <w:t xml:space="preserve">The Council also has a statutory duty under Section 20 of the Landlord </w:t>
      </w:r>
    </w:p>
    <w:p w14:paraId="5A5B8C26" w14:textId="57F57837" w:rsidR="00A33736" w:rsidRPr="00793B29" w:rsidRDefault="00E715AE" w:rsidP="00953334">
      <w:pPr>
        <w:ind w:firstLine="720"/>
        <w:jc w:val="both"/>
      </w:pPr>
      <w:r w:rsidRPr="00793B29">
        <w:t>and</w:t>
      </w:r>
      <w:r w:rsidR="00A33736" w:rsidRPr="00793B29">
        <w:t xml:space="preserve"> Tenant Act 1985 as amended by the Commonhold and Leasehold </w:t>
      </w:r>
    </w:p>
    <w:p w14:paraId="306FF7B5" w14:textId="25C85036" w:rsidR="00A33736" w:rsidRPr="00793B29" w:rsidRDefault="00A33736" w:rsidP="00953334">
      <w:pPr>
        <w:ind w:left="720"/>
        <w:jc w:val="both"/>
      </w:pPr>
      <w:r w:rsidRPr="00793B29">
        <w:t xml:space="preserve">Reform Act 2002 and </w:t>
      </w:r>
      <w:r w:rsidR="00927096" w:rsidRPr="00793B29">
        <w:t>The Service Charges (Consultation Requirements) (England) Regulations</w:t>
      </w:r>
      <w:r w:rsidRPr="00793B29">
        <w:t xml:space="preserve"> </w:t>
      </w:r>
      <w:r w:rsidR="00E715AE" w:rsidRPr="00793B29">
        <w:t xml:space="preserve">2003 </w:t>
      </w:r>
      <w:r w:rsidRPr="00793B29">
        <w:t>to undertake a two</w:t>
      </w:r>
    </w:p>
    <w:p w14:paraId="527E9A4B" w14:textId="48FC6C84" w:rsidR="00A33736" w:rsidRPr="00793B29" w:rsidRDefault="00A33736" w:rsidP="00953334">
      <w:pPr>
        <w:ind w:firstLine="720"/>
        <w:jc w:val="both"/>
      </w:pPr>
      <w:r w:rsidRPr="00793B29">
        <w:t xml:space="preserve">stage consultation with </w:t>
      </w:r>
      <w:r w:rsidR="00E715AE" w:rsidRPr="00793B29">
        <w:t>l</w:t>
      </w:r>
      <w:r w:rsidRPr="00793B29">
        <w:t xml:space="preserve">easeholders whose homes will be included on </w:t>
      </w:r>
    </w:p>
    <w:p w14:paraId="5DF20A48" w14:textId="7B3E1AC1" w:rsidR="00A33736" w:rsidRPr="00793B29" w:rsidRDefault="00A33736" w:rsidP="00953334">
      <w:pPr>
        <w:ind w:firstLine="720"/>
        <w:jc w:val="both"/>
      </w:pPr>
      <w:r w:rsidRPr="00793B29">
        <w:t>the</w:t>
      </w:r>
      <w:r w:rsidR="00E715AE" w:rsidRPr="00793B29">
        <w:t xml:space="preserve"> P</w:t>
      </w:r>
      <w:r w:rsidRPr="00793B29">
        <w:t xml:space="preserve">rogramme and who will subsequently be charged a proportion of </w:t>
      </w:r>
    </w:p>
    <w:p w14:paraId="29816099" w14:textId="0976D8F1" w:rsidR="00A33736" w:rsidRPr="00793B29" w:rsidRDefault="00A33736" w:rsidP="00953334">
      <w:pPr>
        <w:ind w:firstLine="720"/>
        <w:jc w:val="both"/>
      </w:pPr>
      <w:r w:rsidRPr="00793B29">
        <w:t xml:space="preserve">the costs incurred. Stage 1 Consultation will take place </w:t>
      </w:r>
      <w:r w:rsidR="00E715AE" w:rsidRPr="00793B29">
        <w:t>following</w:t>
      </w:r>
      <w:r w:rsidRPr="00793B29">
        <w:t xml:space="preserve"> </w:t>
      </w:r>
    </w:p>
    <w:p w14:paraId="3BA28BFA" w14:textId="55E6236D" w:rsidR="00A33736" w:rsidRPr="00793B29" w:rsidRDefault="00A33736" w:rsidP="00953334">
      <w:pPr>
        <w:ind w:firstLine="720"/>
        <w:jc w:val="both"/>
      </w:pPr>
      <w:r w:rsidRPr="00793B29">
        <w:t>Cabinet approval is granted.</w:t>
      </w:r>
    </w:p>
    <w:p w14:paraId="78E9FA70" w14:textId="4339A5D4" w:rsidR="00865AE9" w:rsidRPr="00793B29" w:rsidRDefault="00865AE9" w:rsidP="00865AE9"/>
    <w:p w14:paraId="4F6B0DF7" w14:textId="76DDC4F9" w:rsidR="005F50C2" w:rsidRPr="00793B29" w:rsidRDefault="00865AE9" w:rsidP="00297385">
      <w:pPr>
        <w:ind w:left="720" w:hanging="720"/>
      </w:pPr>
      <w:r w:rsidRPr="00793B29">
        <w:t>2.10.5</w:t>
      </w:r>
      <w:r w:rsidRPr="00793B29">
        <w:tab/>
        <w:t xml:space="preserve">Legal Services will support the </w:t>
      </w:r>
      <w:r w:rsidR="00BE1A3A" w:rsidRPr="00793B29">
        <w:t>drafting and execution of the contract with the successful tenderer.</w:t>
      </w:r>
    </w:p>
    <w:p w14:paraId="11F2AC04" w14:textId="670D6090" w:rsidR="00333FAA" w:rsidRDefault="00CC16F7" w:rsidP="00A1211C">
      <w:pPr>
        <w:pStyle w:val="Heading3"/>
        <w:spacing w:before="480" w:after="240"/>
      </w:pPr>
      <w:r>
        <w:t>2.11</w:t>
      </w:r>
      <w:r w:rsidR="00664F53">
        <w:t xml:space="preserve"> </w:t>
      </w:r>
      <w:r w:rsidR="00333FAA">
        <w:t>Financial Implications</w:t>
      </w:r>
    </w:p>
    <w:p w14:paraId="2D3495F9" w14:textId="77777777" w:rsidR="00D62E13" w:rsidRDefault="00D62E13" w:rsidP="00D62E13">
      <w:pPr>
        <w:spacing w:line="259" w:lineRule="auto"/>
        <w:ind w:left="720" w:hanging="720"/>
        <w:rPr>
          <w:rFonts w:cs="Arial"/>
        </w:rPr>
      </w:pPr>
      <w:r>
        <w:rPr>
          <w:rFonts w:cs="Arial"/>
        </w:rPr>
        <w:t>2.11.1</w:t>
      </w:r>
      <w:r>
        <w:rPr>
          <w:rFonts w:cs="Arial"/>
        </w:rPr>
        <w:tab/>
      </w:r>
      <w:r w:rsidRPr="00E904F7">
        <w:rPr>
          <w:rFonts w:cs="Arial"/>
        </w:rPr>
        <w:t>The total capital cost and funding for current and future years</w:t>
      </w:r>
      <w:r>
        <w:rPr>
          <w:rFonts w:cs="Arial"/>
        </w:rPr>
        <w:t xml:space="preserve"> of Homesafe-3 </w:t>
      </w:r>
      <w:r w:rsidRPr="00E904F7">
        <w:rPr>
          <w:rFonts w:cs="Arial"/>
        </w:rPr>
        <w:t xml:space="preserve">is set out in </w:t>
      </w:r>
      <w:r>
        <w:rPr>
          <w:rFonts w:cs="Arial"/>
        </w:rPr>
        <w:t xml:space="preserve">the </w:t>
      </w:r>
      <w:r w:rsidRPr="00E904F7">
        <w:rPr>
          <w:rFonts w:cs="Arial"/>
        </w:rPr>
        <w:t>table</w:t>
      </w:r>
      <w:r>
        <w:rPr>
          <w:rFonts w:cs="Arial"/>
        </w:rPr>
        <w:t xml:space="preserve"> </w:t>
      </w:r>
      <w:r w:rsidRPr="00E904F7">
        <w:rPr>
          <w:rFonts w:cs="Arial"/>
        </w:rPr>
        <w:t>below: -</w:t>
      </w:r>
    </w:p>
    <w:p w14:paraId="556A374A" w14:textId="77777777" w:rsidR="00D62E13" w:rsidRDefault="00D62E13" w:rsidP="00D62E13">
      <w:pPr>
        <w:spacing w:line="259" w:lineRule="auto"/>
        <w:ind w:left="720" w:hanging="720"/>
        <w:rPr>
          <w:rFonts w:cs="Arial"/>
        </w:rPr>
      </w:pPr>
    </w:p>
    <w:tbl>
      <w:tblPr>
        <w:tblW w:w="8596" w:type="dxa"/>
        <w:tblInd w:w="-10" w:type="dxa"/>
        <w:tblLook w:val="04A0" w:firstRow="1" w:lastRow="0" w:firstColumn="1" w:lastColumn="0" w:noHBand="0" w:noVBand="1"/>
      </w:tblPr>
      <w:tblGrid>
        <w:gridCol w:w="2400"/>
        <w:gridCol w:w="2126"/>
        <w:gridCol w:w="1437"/>
        <w:gridCol w:w="1249"/>
        <w:gridCol w:w="1384"/>
      </w:tblGrid>
      <w:tr w:rsidR="00D62E13" w:rsidRPr="00CD0ACD" w14:paraId="062456BE" w14:textId="77777777" w:rsidTr="00443BB5">
        <w:trPr>
          <w:trHeight w:val="297"/>
        </w:trPr>
        <w:tc>
          <w:tcPr>
            <w:tcW w:w="8596" w:type="dxa"/>
            <w:gridSpan w:val="5"/>
            <w:tcBorders>
              <w:top w:val="single" w:sz="8" w:space="0" w:color="auto"/>
              <w:left w:val="single" w:sz="8" w:space="0" w:color="auto"/>
              <w:bottom w:val="single" w:sz="8" w:space="0" w:color="auto"/>
              <w:right w:val="single" w:sz="8" w:space="0" w:color="000000"/>
            </w:tcBorders>
            <w:shd w:val="clear" w:color="000000" w:fill="CCC0D9"/>
            <w:vAlign w:val="center"/>
            <w:hideMark/>
          </w:tcPr>
          <w:p w14:paraId="66D7F6CF" w14:textId="77777777" w:rsidR="00D62E13" w:rsidRPr="00CD0ACD" w:rsidRDefault="00D62E13" w:rsidP="00443BB5">
            <w:pPr>
              <w:rPr>
                <w:rFonts w:cs="Arial"/>
                <w:b/>
                <w:bCs/>
                <w:color w:val="000000"/>
                <w:sz w:val="20"/>
                <w:lang w:eastAsia="en-GB"/>
              </w:rPr>
            </w:pPr>
            <w:r>
              <w:rPr>
                <w:rFonts w:cs="Arial"/>
                <w:b/>
                <w:bCs/>
                <w:color w:val="000000"/>
                <w:sz w:val="20"/>
                <w:lang w:eastAsia="en-GB"/>
              </w:rPr>
              <w:t xml:space="preserve">2.11  </w:t>
            </w:r>
            <w:r w:rsidRPr="00CD0ACD">
              <w:rPr>
                <w:rFonts w:cs="Arial"/>
                <w:b/>
                <w:bCs/>
                <w:color w:val="000000"/>
                <w:sz w:val="20"/>
                <w:lang w:eastAsia="en-GB"/>
              </w:rPr>
              <w:t>Table-</w:t>
            </w:r>
            <w:r>
              <w:rPr>
                <w:rFonts w:cs="Arial"/>
                <w:b/>
                <w:bCs/>
                <w:color w:val="000000"/>
                <w:sz w:val="20"/>
                <w:lang w:eastAsia="en-GB"/>
              </w:rPr>
              <w:t>1</w:t>
            </w:r>
            <w:r w:rsidRPr="00CD0ACD">
              <w:rPr>
                <w:rFonts w:cs="Arial"/>
                <w:b/>
                <w:bCs/>
                <w:color w:val="000000"/>
                <w:sz w:val="20"/>
                <w:lang w:eastAsia="en-GB"/>
              </w:rPr>
              <w:t xml:space="preserve">   Finance</w:t>
            </w:r>
          </w:p>
        </w:tc>
      </w:tr>
      <w:tr w:rsidR="00D62E13" w:rsidRPr="00CD0ACD" w14:paraId="4DFA52F1" w14:textId="77777777" w:rsidTr="00443BB5">
        <w:trPr>
          <w:trHeight w:val="541"/>
        </w:trPr>
        <w:tc>
          <w:tcPr>
            <w:tcW w:w="2400" w:type="dxa"/>
            <w:tcBorders>
              <w:top w:val="nil"/>
              <w:left w:val="single" w:sz="8" w:space="0" w:color="auto"/>
              <w:bottom w:val="single" w:sz="8" w:space="0" w:color="auto"/>
              <w:right w:val="single" w:sz="8" w:space="0" w:color="auto"/>
            </w:tcBorders>
            <w:shd w:val="clear" w:color="000000" w:fill="D9D9D9"/>
            <w:vAlign w:val="center"/>
            <w:hideMark/>
          </w:tcPr>
          <w:p w14:paraId="3B206DF2" w14:textId="77777777" w:rsidR="00D62E13" w:rsidRPr="00CD0ACD" w:rsidRDefault="00D62E13" w:rsidP="00443BB5">
            <w:pPr>
              <w:jc w:val="center"/>
              <w:rPr>
                <w:rFonts w:cs="Arial"/>
                <w:b/>
                <w:bCs/>
                <w:color w:val="000000"/>
                <w:sz w:val="20"/>
                <w:lang w:eastAsia="en-GB"/>
              </w:rPr>
            </w:pPr>
            <w:r w:rsidRPr="00CD0ACD">
              <w:rPr>
                <w:rFonts w:cs="Arial"/>
                <w:b/>
                <w:bCs/>
                <w:color w:val="000000"/>
                <w:sz w:val="20"/>
                <w:lang w:eastAsia="en-GB"/>
              </w:rPr>
              <w:t>Project Approvals</w:t>
            </w:r>
          </w:p>
        </w:tc>
        <w:tc>
          <w:tcPr>
            <w:tcW w:w="2126" w:type="dxa"/>
            <w:tcBorders>
              <w:top w:val="nil"/>
              <w:left w:val="nil"/>
              <w:bottom w:val="single" w:sz="8" w:space="0" w:color="auto"/>
              <w:right w:val="single" w:sz="8" w:space="0" w:color="auto"/>
            </w:tcBorders>
            <w:shd w:val="clear" w:color="000000" w:fill="D9D9D9"/>
            <w:vAlign w:val="center"/>
            <w:hideMark/>
          </w:tcPr>
          <w:p w14:paraId="6626BC39" w14:textId="77777777" w:rsidR="00D62E13" w:rsidRPr="00CD0ACD" w:rsidRDefault="00D62E13" w:rsidP="00443BB5">
            <w:pPr>
              <w:rPr>
                <w:rFonts w:cs="Arial"/>
                <w:b/>
                <w:bCs/>
                <w:color w:val="000000"/>
                <w:sz w:val="20"/>
                <w:lang w:eastAsia="en-GB"/>
              </w:rPr>
            </w:pPr>
            <w:r w:rsidRPr="00CD0ACD">
              <w:rPr>
                <w:rFonts w:cs="Arial"/>
                <w:b/>
                <w:bCs/>
                <w:color w:val="000000"/>
                <w:sz w:val="20"/>
                <w:lang w:eastAsia="en-GB"/>
              </w:rPr>
              <w:t xml:space="preserve">Status </w:t>
            </w:r>
          </w:p>
        </w:tc>
        <w:tc>
          <w:tcPr>
            <w:tcW w:w="1437" w:type="dxa"/>
            <w:tcBorders>
              <w:top w:val="nil"/>
              <w:left w:val="nil"/>
              <w:bottom w:val="single" w:sz="8" w:space="0" w:color="auto"/>
              <w:right w:val="single" w:sz="8" w:space="0" w:color="auto"/>
            </w:tcBorders>
            <w:shd w:val="clear" w:color="000000" w:fill="E5DFEC"/>
            <w:vAlign w:val="center"/>
            <w:hideMark/>
          </w:tcPr>
          <w:p w14:paraId="770FB257" w14:textId="77777777" w:rsidR="00D62E13" w:rsidRPr="00CD0ACD" w:rsidRDefault="00D62E13" w:rsidP="00443BB5">
            <w:pPr>
              <w:jc w:val="center"/>
              <w:rPr>
                <w:rFonts w:cs="Arial"/>
                <w:b/>
                <w:bCs/>
                <w:color w:val="000000"/>
                <w:sz w:val="20"/>
                <w:lang w:eastAsia="en-GB"/>
              </w:rPr>
            </w:pPr>
            <w:r w:rsidRPr="00CD0ACD">
              <w:rPr>
                <w:rFonts w:cs="Arial"/>
                <w:b/>
                <w:bCs/>
                <w:color w:val="000000"/>
                <w:sz w:val="20"/>
                <w:lang w:eastAsia="en-GB"/>
              </w:rPr>
              <w:t>Budget</w:t>
            </w:r>
          </w:p>
        </w:tc>
        <w:tc>
          <w:tcPr>
            <w:tcW w:w="1249" w:type="dxa"/>
            <w:tcBorders>
              <w:top w:val="nil"/>
              <w:left w:val="nil"/>
              <w:bottom w:val="single" w:sz="8" w:space="0" w:color="auto"/>
              <w:right w:val="single" w:sz="8" w:space="0" w:color="auto"/>
            </w:tcBorders>
            <w:shd w:val="clear" w:color="000000" w:fill="D9D9D9"/>
            <w:vAlign w:val="center"/>
            <w:hideMark/>
          </w:tcPr>
          <w:p w14:paraId="3039B96E" w14:textId="77777777" w:rsidR="00D62E13" w:rsidRPr="00CD0ACD" w:rsidRDefault="00D62E13" w:rsidP="00443BB5">
            <w:pPr>
              <w:jc w:val="center"/>
              <w:rPr>
                <w:rFonts w:cs="Arial"/>
                <w:b/>
                <w:bCs/>
                <w:color w:val="000000"/>
                <w:sz w:val="20"/>
                <w:lang w:eastAsia="en-GB"/>
              </w:rPr>
            </w:pPr>
            <w:r w:rsidRPr="00CD0ACD">
              <w:rPr>
                <w:rFonts w:cs="Arial"/>
                <w:b/>
                <w:bCs/>
                <w:color w:val="000000"/>
                <w:sz w:val="20"/>
                <w:lang w:eastAsia="en-GB"/>
              </w:rPr>
              <w:t>Spend 2021-22</w:t>
            </w:r>
          </w:p>
        </w:tc>
        <w:tc>
          <w:tcPr>
            <w:tcW w:w="1384" w:type="dxa"/>
            <w:tcBorders>
              <w:top w:val="nil"/>
              <w:left w:val="nil"/>
              <w:bottom w:val="single" w:sz="8" w:space="0" w:color="auto"/>
              <w:right w:val="single" w:sz="8" w:space="0" w:color="auto"/>
            </w:tcBorders>
            <w:shd w:val="clear" w:color="000000" w:fill="D9D9D9"/>
            <w:vAlign w:val="center"/>
            <w:hideMark/>
          </w:tcPr>
          <w:p w14:paraId="318B7453" w14:textId="77777777" w:rsidR="00D62E13" w:rsidRPr="00CD0ACD" w:rsidRDefault="00D62E13" w:rsidP="00443BB5">
            <w:pPr>
              <w:jc w:val="center"/>
              <w:rPr>
                <w:rFonts w:cs="Arial"/>
                <w:b/>
                <w:bCs/>
                <w:color w:val="000000"/>
                <w:sz w:val="20"/>
                <w:lang w:eastAsia="en-GB"/>
              </w:rPr>
            </w:pPr>
            <w:r w:rsidRPr="00CD0ACD">
              <w:rPr>
                <w:rFonts w:cs="Arial"/>
                <w:b/>
                <w:bCs/>
                <w:color w:val="000000"/>
                <w:sz w:val="20"/>
                <w:lang w:eastAsia="en-GB"/>
              </w:rPr>
              <w:t>Spend 2022-23</w:t>
            </w:r>
          </w:p>
        </w:tc>
      </w:tr>
      <w:tr w:rsidR="00D62E13" w:rsidRPr="00CD0ACD" w14:paraId="2DA2780E" w14:textId="77777777" w:rsidTr="00443BB5">
        <w:trPr>
          <w:trHeight w:val="297"/>
        </w:trPr>
        <w:tc>
          <w:tcPr>
            <w:tcW w:w="2400" w:type="dxa"/>
            <w:tcBorders>
              <w:top w:val="nil"/>
              <w:left w:val="single" w:sz="8" w:space="0" w:color="auto"/>
              <w:bottom w:val="single" w:sz="8" w:space="0" w:color="auto"/>
              <w:right w:val="single" w:sz="8" w:space="0" w:color="auto"/>
            </w:tcBorders>
            <w:shd w:val="clear" w:color="000000" w:fill="F2F2F2"/>
            <w:vAlign w:val="center"/>
            <w:hideMark/>
          </w:tcPr>
          <w:p w14:paraId="174CC9A2" w14:textId="77777777" w:rsidR="00D62E13" w:rsidRPr="00CD0ACD" w:rsidRDefault="00D62E13" w:rsidP="00443BB5">
            <w:pPr>
              <w:rPr>
                <w:rFonts w:cs="Arial"/>
                <w:color w:val="000000"/>
                <w:sz w:val="20"/>
                <w:lang w:eastAsia="en-GB"/>
              </w:rPr>
            </w:pPr>
            <w:r w:rsidRPr="00CD0ACD">
              <w:rPr>
                <w:rFonts w:cs="Arial"/>
                <w:color w:val="000000"/>
                <w:sz w:val="20"/>
                <w:lang w:eastAsia="en-GB"/>
              </w:rPr>
              <w:t> </w:t>
            </w:r>
          </w:p>
        </w:tc>
        <w:tc>
          <w:tcPr>
            <w:tcW w:w="2126" w:type="dxa"/>
            <w:tcBorders>
              <w:top w:val="nil"/>
              <w:left w:val="nil"/>
              <w:bottom w:val="single" w:sz="8" w:space="0" w:color="auto"/>
              <w:right w:val="single" w:sz="8" w:space="0" w:color="auto"/>
            </w:tcBorders>
            <w:shd w:val="clear" w:color="000000" w:fill="D9D9D9"/>
            <w:vAlign w:val="center"/>
            <w:hideMark/>
          </w:tcPr>
          <w:p w14:paraId="77E01CC5" w14:textId="77777777" w:rsidR="00D62E13" w:rsidRPr="00CD0ACD" w:rsidRDefault="00D62E13" w:rsidP="00443BB5">
            <w:pPr>
              <w:jc w:val="center"/>
              <w:rPr>
                <w:rFonts w:cs="Arial"/>
                <w:color w:val="000000"/>
                <w:sz w:val="20"/>
                <w:lang w:eastAsia="en-GB"/>
              </w:rPr>
            </w:pPr>
            <w:r w:rsidRPr="00CD0ACD">
              <w:rPr>
                <w:rFonts w:cs="Arial"/>
                <w:color w:val="000000"/>
                <w:sz w:val="20"/>
                <w:lang w:eastAsia="en-GB"/>
              </w:rPr>
              <w:t> </w:t>
            </w:r>
          </w:p>
        </w:tc>
        <w:tc>
          <w:tcPr>
            <w:tcW w:w="1437" w:type="dxa"/>
            <w:tcBorders>
              <w:top w:val="nil"/>
              <w:left w:val="nil"/>
              <w:bottom w:val="single" w:sz="8" w:space="0" w:color="auto"/>
              <w:right w:val="single" w:sz="8" w:space="0" w:color="auto"/>
            </w:tcBorders>
            <w:shd w:val="clear" w:color="000000" w:fill="F2F2F2"/>
            <w:vAlign w:val="center"/>
            <w:hideMark/>
          </w:tcPr>
          <w:p w14:paraId="6BBCB85C" w14:textId="77777777" w:rsidR="00D62E13" w:rsidRPr="00CD0ACD" w:rsidRDefault="00D62E13" w:rsidP="00443BB5">
            <w:pPr>
              <w:rPr>
                <w:rFonts w:cs="Arial"/>
                <w:b/>
                <w:bCs/>
                <w:color w:val="000000"/>
                <w:sz w:val="20"/>
                <w:lang w:eastAsia="en-GB"/>
              </w:rPr>
            </w:pPr>
            <w:r w:rsidRPr="00CD0ACD">
              <w:rPr>
                <w:rFonts w:cs="Arial"/>
                <w:b/>
                <w:bCs/>
                <w:color w:val="000000"/>
                <w:sz w:val="20"/>
                <w:lang w:eastAsia="en-GB"/>
              </w:rPr>
              <w:t xml:space="preserve">            £</w:t>
            </w:r>
          </w:p>
        </w:tc>
        <w:tc>
          <w:tcPr>
            <w:tcW w:w="1249" w:type="dxa"/>
            <w:tcBorders>
              <w:top w:val="nil"/>
              <w:left w:val="nil"/>
              <w:bottom w:val="single" w:sz="8" w:space="0" w:color="auto"/>
              <w:right w:val="single" w:sz="8" w:space="0" w:color="auto"/>
            </w:tcBorders>
            <w:shd w:val="clear" w:color="000000" w:fill="F2F2F2"/>
            <w:vAlign w:val="center"/>
            <w:hideMark/>
          </w:tcPr>
          <w:p w14:paraId="41F998EF" w14:textId="77777777" w:rsidR="00D62E13" w:rsidRPr="00CD0ACD" w:rsidRDefault="00D62E13" w:rsidP="00443BB5">
            <w:pPr>
              <w:rPr>
                <w:rFonts w:cs="Arial"/>
                <w:b/>
                <w:bCs/>
                <w:color w:val="000000"/>
                <w:sz w:val="20"/>
                <w:lang w:eastAsia="en-GB"/>
              </w:rPr>
            </w:pPr>
            <w:r w:rsidRPr="00CD0ACD">
              <w:rPr>
                <w:rFonts w:cs="Arial"/>
                <w:b/>
                <w:bCs/>
                <w:color w:val="000000"/>
                <w:sz w:val="20"/>
                <w:lang w:eastAsia="en-GB"/>
              </w:rPr>
              <w:t xml:space="preserve">        £</w:t>
            </w:r>
          </w:p>
        </w:tc>
        <w:tc>
          <w:tcPr>
            <w:tcW w:w="1384" w:type="dxa"/>
            <w:tcBorders>
              <w:top w:val="nil"/>
              <w:left w:val="nil"/>
              <w:bottom w:val="single" w:sz="8" w:space="0" w:color="auto"/>
              <w:right w:val="single" w:sz="8" w:space="0" w:color="auto"/>
            </w:tcBorders>
            <w:shd w:val="clear" w:color="000000" w:fill="F2F2F2"/>
            <w:vAlign w:val="center"/>
            <w:hideMark/>
          </w:tcPr>
          <w:p w14:paraId="1F6CD7E0" w14:textId="77777777" w:rsidR="00D62E13" w:rsidRPr="00CD0ACD" w:rsidRDefault="00D62E13" w:rsidP="00443BB5">
            <w:pPr>
              <w:rPr>
                <w:rFonts w:cs="Arial"/>
                <w:b/>
                <w:bCs/>
                <w:color w:val="000000"/>
                <w:sz w:val="20"/>
                <w:lang w:eastAsia="en-GB"/>
              </w:rPr>
            </w:pPr>
            <w:r w:rsidRPr="00CD0ACD">
              <w:rPr>
                <w:rFonts w:cs="Arial"/>
                <w:b/>
                <w:bCs/>
                <w:color w:val="000000"/>
                <w:sz w:val="20"/>
                <w:lang w:eastAsia="en-GB"/>
              </w:rPr>
              <w:t xml:space="preserve">          £</w:t>
            </w:r>
          </w:p>
        </w:tc>
      </w:tr>
      <w:tr w:rsidR="00D62E13" w:rsidRPr="00CD0ACD" w14:paraId="4C494043" w14:textId="77777777" w:rsidTr="00443BB5">
        <w:trPr>
          <w:trHeight w:val="297"/>
        </w:trPr>
        <w:tc>
          <w:tcPr>
            <w:tcW w:w="2400" w:type="dxa"/>
            <w:tcBorders>
              <w:top w:val="nil"/>
              <w:left w:val="single" w:sz="8" w:space="0" w:color="auto"/>
              <w:bottom w:val="single" w:sz="8" w:space="0" w:color="auto"/>
              <w:right w:val="single" w:sz="8" w:space="0" w:color="auto"/>
            </w:tcBorders>
            <w:shd w:val="clear" w:color="000000" w:fill="F2F2F2"/>
            <w:vAlign w:val="center"/>
            <w:hideMark/>
          </w:tcPr>
          <w:p w14:paraId="4CE47618" w14:textId="77777777" w:rsidR="00D62E13" w:rsidRPr="00CD0ACD" w:rsidRDefault="00D62E13" w:rsidP="00443BB5">
            <w:pPr>
              <w:rPr>
                <w:rFonts w:cs="Arial"/>
                <w:color w:val="000000"/>
                <w:sz w:val="20"/>
                <w:lang w:eastAsia="en-GB"/>
              </w:rPr>
            </w:pPr>
            <w:r w:rsidRPr="00CD0ACD">
              <w:rPr>
                <w:rFonts w:cs="Arial"/>
                <w:color w:val="000000"/>
                <w:sz w:val="20"/>
                <w:lang w:eastAsia="en-GB"/>
              </w:rPr>
              <w:t xml:space="preserve">Cabinet Approved </w:t>
            </w:r>
          </w:p>
        </w:tc>
        <w:tc>
          <w:tcPr>
            <w:tcW w:w="2126" w:type="dxa"/>
            <w:tcBorders>
              <w:top w:val="nil"/>
              <w:left w:val="nil"/>
              <w:bottom w:val="single" w:sz="8" w:space="0" w:color="auto"/>
              <w:right w:val="single" w:sz="8" w:space="0" w:color="auto"/>
            </w:tcBorders>
            <w:shd w:val="clear" w:color="000000" w:fill="D9D9D9"/>
            <w:vAlign w:val="center"/>
            <w:hideMark/>
          </w:tcPr>
          <w:p w14:paraId="73935BB8" w14:textId="77777777" w:rsidR="00D62E13" w:rsidRPr="00CD0ACD" w:rsidRDefault="00D62E13" w:rsidP="00443BB5">
            <w:pPr>
              <w:jc w:val="center"/>
              <w:rPr>
                <w:rFonts w:cs="Arial"/>
                <w:color w:val="000000"/>
                <w:sz w:val="20"/>
                <w:lang w:eastAsia="en-GB"/>
              </w:rPr>
            </w:pPr>
            <w:r w:rsidRPr="00CD0ACD">
              <w:rPr>
                <w:rFonts w:cs="Arial"/>
                <w:color w:val="000000"/>
                <w:sz w:val="20"/>
                <w:lang w:eastAsia="en-GB"/>
              </w:rPr>
              <w:t>19-</w:t>
            </w:r>
            <w:r w:rsidRPr="002C0C3D">
              <w:rPr>
                <w:rFonts w:cs="Arial"/>
                <w:color w:val="000000"/>
                <w:sz w:val="20"/>
                <w:highlight w:val="lightGray"/>
                <w:lang w:eastAsia="en-GB"/>
              </w:rPr>
              <w:t>Mar-20</w:t>
            </w:r>
          </w:p>
        </w:tc>
        <w:tc>
          <w:tcPr>
            <w:tcW w:w="1437" w:type="dxa"/>
            <w:tcBorders>
              <w:top w:val="nil"/>
              <w:left w:val="nil"/>
              <w:bottom w:val="single" w:sz="8" w:space="0" w:color="auto"/>
              <w:right w:val="single" w:sz="8" w:space="0" w:color="auto"/>
            </w:tcBorders>
            <w:shd w:val="clear" w:color="auto" w:fill="auto"/>
            <w:vAlign w:val="center"/>
            <w:hideMark/>
          </w:tcPr>
          <w:p w14:paraId="77329C59" w14:textId="77777777" w:rsidR="00D62E13" w:rsidRPr="00CD0ACD" w:rsidRDefault="00D62E13" w:rsidP="00443BB5">
            <w:pPr>
              <w:jc w:val="right"/>
              <w:rPr>
                <w:rFonts w:cs="Arial"/>
                <w:color w:val="000000"/>
                <w:sz w:val="20"/>
                <w:lang w:eastAsia="en-GB"/>
              </w:rPr>
            </w:pPr>
            <w:r w:rsidRPr="00CD0ACD">
              <w:rPr>
                <w:rFonts w:cs="Arial"/>
                <w:color w:val="000000"/>
                <w:sz w:val="20"/>
                <w:lang w:eastAsia="en-GB"/>
              </w:rPr>
              <w:t>2,400,000</w:t>
            </w:r>
          </w:p>
        </w:tc>
        <w:tc>
          <w:tcPr>
            <w:tcW w:w="1249" w:type="dxa"/>
            <w:tcBorders>
              <w:top w:val="nil"/>
              <w:left w:val="nil"/>
              <w:bottom w:val="single" w:sz="8" w:space="0" w:color="auto"/>
              <w:right w:val="single" w:sz="8" w:space="0" w:color="auto"/>
            </w:tcBorders>
            <w:shd w:val="clear" w:color="000000" w:fill="D9D9D9"/>
            <w:vAlign w:val="center"/>
            <w:hideMark/>
          </w:tcPr>
          <w:p w14:paraId="6BA501EF" w14:textId="77777777" w:rsidR="00D62E13" w:rsidRPr="00CD0ACD" w:rsidRDefault="00D62E13" w:rsidP="00443BB5">
            <w:pPr>
              <w:jc w:val="right"/>
              <w:rPr>
                <w:rFonts w:cs="Arial"/>
                <w:color w:val="000000"/>
                <w:sz w:val="20"/>
                <w:lang w:eastAsia="en-GB"/>
              </w:rPr>
            </w:pPr>
            <w:r w:rsidRPr="00CD0ACD">
              <w:rPr>
                <w:rFonts w:cs="Arial"/>
                <w:color w:val="000000"/>
                <w:sz w:val="20"/>
                <w:lang w:eastAsia="en-GB"/>
              </w:rPr>
              <w:t>2,400,000</w:t>
            </w:r>
          </w:p>
        </w:tc>
        <w:tc>
          <w:tcPr>
            <w:tcW w:w="1384" w:type="dxa"/>
            <w:tcBorders>
              <w:top w:val="nil"/>
              <w:left w:val="nil"/>
              <w:bottom w:val="single" w:sz="8" w:space="0" w:color="auto"/>
              <w:right w:val="single" w:sz="8" w:space="0" w:color="auto"/>
            </w:tcBorders>
            <w:shd w:val="clear" w:color="000000" w:fill="F2F2F2"/>
            <w:vAlign w:val="center"/>
            <w:hideMark/>
          </w:tcPr>
          <w:p w14:paraId="3448148D" w14:textId="77777777" w:rsidR="00D62E13" w:rsidRPr="00CD0ACD" w:rsidRDefault="00D62E13" w:rsidP="00443BB5">
            <w:pPr>
              <w:jc w:val="right"/>
              <w:rPr>
                <w:rFonts w:cs="Arial"/>
                <w:b/>
                <w:bCs/>
                <w:color w:val="000000"/>
                <w:sz w:val="20"/>
                <w:lang w:eastAsia="en-GB"/>
              </w:rPr>
            </w:pPr>
            <w:r w:rsidRPr="00CD0ACD">
              <w:rPr>
                <w:rFonts w:cs="Arial"/>
                <w:b/>
                <w:bCs/>
                <w:color w:val="000000"/>
                <w:sz w:val="20"/>
                <w:lang w:eastAsia="en-GB"/>
              </w:rPr>
              <w:t>0</w:t>
            </w:r>
          </w:p>
        </w:tc>
      </w:tr>
      <w:tr w:rsidR="00D62E13" w:rsidRPr="00CD0ACD" w14:paraId="56D61326" w14:textId="77777777" w:rsidTr="00443BB5">
        <w:trPr>
          <w:trHeight w:val="525"/>
        </w:trPr>
        <w:tc>
          <w:tcPr>
            <w:tcW w:w="2400" w:type="dxa"/>
            <w:tcBorders>
              <w:top w:val="nil"/>
              <w:left w:val="single" w:sz="8" w:space="0" w:color="auto"/>
              <w:bottom w:val="single" w:sz="8" w:space="0" w:color="auto"/>
              <w:right w:val="single" w:sz="8" w:space="0" w:color="auto"/>
            </w:tcBorders>
            <w:shd w:val="clear" w:color="000000" w:fill="F2F2F2"/>
            <w:vAlign w:val="center"/>
            <w:hideMark/>
          </w:tcPr>
          <w:p w14:paraId="3133186B" w14:textId="77777777" w:rsidR="00D62E13" w:rsidRPr="00CD0ACD" w:rsidRDefault="00D62E13" w:rsidP="00443BB5">
            <w:pPr>
              <w:rPr>
                <w:rFonts w:cs="Arial"/>
                <w:color w:val="000000"/>
                <w:sz w:val="20"/>
                <w:lang w:eastAsia="en-GB"/>
              </w:rPr>
            </w:pPr>
            <w:r w:rsidRPr="00CD0ACD">
              <w:rPr>
                <w:rFonts w:cs="Arial"/>
                <w:color w:val="000000"/>
                <w:sz w:val="20"/>
                <w:lang w:eastAsia="en-GB"/>
              </w:rPr>
              <w:t xml:space="preserve">Cabinet Request </w:t>
            </w:r>
          </w:p>
        </w:tc>
        <w:tc>
          <w:tcPr>
            <w:tcW w:w="2126" w:type="dxa"/>
            <w:tcBorders>
              <w:top w:val="nil"/>
              <w:left w:val="nil"/>
              <w:bottom w:val="single" w:sz="8" w:space="0" w:color="auto"/>
              <w:right w:val="single" w:sz="8" w:space="0" w:color="auto"/>
            </w:tcBorders>
            <w:shd w:val="clear" w:color="000000" w:fill="D9D9D9"/>
            <w:vAlign w:val="center"/>
            <w:hideMark/>
          </w:tcPr>
          <w:p w14:paraId="103C7EB1" w14:textId="77777777" w:rsidR="00D62E13" w:rsidRPr="00CD0ACD" w:rsidRDefault="00D62E13" w:rsidP="00443BB5">
            <w:pPr>
              <w:jc w:val="center"/>
              <w:rPr>
                <w:rFonts w:cs="Arial"/>
                <w:color w:val="000000"/>
                <w:sz w:val="20"/>
                <w:lang w:eastAsia="en-GB"/>
              </w:rPr>
            </w:pPr>
            <w:r>
              <w:rPr>
                <w:rFonts w:cs="Arial"/>
                <w:color w:val="000000"/>
                <w:sz w:val="20"/>
                <w:lang w:eastAsia="en-GB"/>
              </w:rPr>
              <w:t>21-Oct-21</w:t>
            </w:r>
          </w:p>
        </w:tc>
        <w:tc>
          <w:tcPr>
            <w:tcW w:w="1437" w:type="dxa"/>
            <w:tcBorders>
              <w:top w:val="nil"/>
              <w:left w:val="nil"/>
              <w:bottom w:val="single" w:sz="8" w:space="0" w:color="auto"/>
              <w:right w:val="single" w:sz="8" w:space="0" w:color="auto"/>
            </w:tcBorders>
            <w:shd w:val="clear" w:color="auto" w:fill="auto"/>
            <w:vAlign w:val="center"/>
            <w:hideMark/>
          </w:tcPr>
          <w:p w14:paraId="7BD4FA27" w14:textId="77777777" w:rsidR="00D62E13" w:rsidRPr="00CD0ACD" w:rsidRDefault="00D62E13" w:rsidP="00443BB5">
            <w:pPr>
              <w:jc w:val="right"/>
              <w:rPr>
                <w:rFonts w:cs="Arial"/>
                <w:color w:val="000000"/>
                <w:sz w:val="20"/>
                <w:lang w:eastAsia="en-GB"/>
              </w:rPr>
            </w:pPr>
            <w:r w:rsidRPr="00CD0ACD">
              <w:rPr>
                <w:rFonts w:cs="Arial"/>
                <w:color w:val="000000"/>
                <w:sz w:val="20"/>
                <w:lang w:eastAsia="en-GB"/>
              </w:rPr>
              <w:t>1,600,000</w:t>
            </w:r>
          </w:p>
        </w:tc>
        <w:tc>
          <w:tcPr>
            <w:tcW w:w="1249" w:type="dxa"/>
            <w:tcBorders>
              <w:top w:val="nil"/>
              <w:left w:val="nil"/>
              <w:bottom w:val="single" w:sz="8" w:space="0" w:color="auto"/>
              <w:right w:val="single" w:sz="8" w:space="0" w:color="auto"/>
            </w:tcBorders>
            <w:shd w:val="clear" w:color="000000" w:fill="D9D9D9"/>
            <w:vAlign w:val="center"/>
            <w:hideMark/>
          </w:tcPr>
          <w:p w14:paraId="348DB0AA" w14:textId="77777777" w:rsidR="00D62E13" w:rsidRPr="00CD0ACD" w:rsidRDefault="00D62E13" w:rsidP="00443BB5">
            <w:pPr>
              <w:jc w:val="right"/>
              <w:rPr>
                <w:rFonts w:cs="Arial"/>
                <w:color w:val="000000"/>
                <w:sz w:val="20"/>
                <w:lang w:eastAsia="en-GB"/>
              </w:rPr>
            </w:pPr>
            <w:r w:rsidRPr="00CD0ACD">
              <w:rPr>
                <w:rFonts w:cs="Arial"/>
                <w:color w:val="000000"/>
                <w:sz w:val="20"/>
                <w:lang w:eastAsia="en-GB"/>
              </w:rPr>
              <w:t>0</w:t>
            </w:r>
          </w:p>
        </w:tc>
        <w:tc>
          <w:tcPr>
            <w:tcW w:w="1384" w:type="dxa"/>
            <w:tcBorders>
              <w:top w:val="nil"/>
              <w:left w:val="nil"/>
              <w:bottom w:val="single" w:sz="8" w:space="0" w:color="auto"/>
              <w:right w:val="single" w:sz="8" w:space="0" w:color="auto"/>
            </w:tcBorders>
            <w:shd w:val="clear" w:color="auto" w:fill="auto"/>
            <w:vAlign w:val="center"/>
            <w:hideMark/>
          </w:tcPr>
          <w:p w14:paraId="3ABF4565" w14:textId="77777777" w:rsidR="00D62E13" w:rsidRPr="00CD0ACD" w:rsidRDefault="00D62E13" w:rsidP="00443BB5">
            <w:pPr>
              <w:jc w:val="right"/>
              <w:rPr>
                <w:rFonts w:cs="Arial"/>
                <w:color w:val="000000"/>
                <w:sz w:val="20"/>
                <w:lang w:eastAsia="en-GB"/>
              </w:rPr>
            </w:pPr>
            <w:r w:rsidRPr="00CD0ACD">
              <w:rPr>
                <w:rFonts w:cs="Arial"/>
                <w:color w:val="000000"/>
                <w:sz w:val="20"/>
                <w:lang w:eastAsia="en-GB"/>
              </w:rPr>
              <w:t>1,600,000</w:t>
            </w:r>
          </w:p>
        </w:tc>
      </w:tr>
      <w:tr w:rsidR="00D62E13" w:rsidRPr="00CD0ACD" w14:paraId="0875261D" w14:textId="77777777" w:rsidTr="00443BB5">
        <w:trPr>
          <w:trHeight w:val="297"/>
        </w:trPr>
        <w:tc>
          <w:tcPr>
            <w:tcW w:w="2400" w:type="dxa"/>
            <w:tcBorders>
              <w:top w:val="nil"/>
              <w:left w:val="single" w:sz="8" w:space="0" w:color="auto"/>
              <w:bottom w:val="single" w:sz="8" w:space="0" w:color="auto"/>
              <w:right w:val="single" w:sz="8" w:space="0" w:color="auto"/>
            </w:tcBorders>
            <w:shd w:val="clear" w:color="000000" w:fill="F2F2F2"/>
            <w:vAlign w:val="center"/>
            <w:hideMark/>
          </w:tcPr>
          <w:p w14:paraId="6DA98260" w14:textId="77777777" w:rsidR="00D62E13" w:rsidRPr="00CD0ACD" w:rsidRDefault="00D62E13" w:rsidP="00443BB5">
            <w:pPr>
              <w:rPr>
                <w:rFonts w:cs="Arial"/>
                <w:color w:val="000000"/>
                <w:sz w:val="20"/>
                <w:lang w:eastAsia="en-GB"/>
              </w:rPr>
            </w:pPr>
            <w:r w:rsidRPr="00CD0ACD">
              <w:rPr>
                <w:rFonts w:cs="Arial"/>
                <w:color w:val="000000"/>
                <w:sz w:val="20"/>
                <w:lang w:eastAsia="en-GB"/>
              </w:rPr>
              <w:t>Estimated slip</w:t>
            </w:r>
            <w:r>
              <w:rPr>
                <w:rFonts w:cs="Arial"/>
                <w:color w:val="000000"/>
                <w:sz w:val="20"/>
                <w:lang w:eastAsia="en-GB"/>
              </w:rPr>
              <w:t>p</w:t>
            </w:r>
            <w:r w:rsidRPr="00CD0ACD">
              <w:rPr>
                <w:rFonts w:cs="Arial"/>
                <w:color w:val="000000"/>
                <w:sz w:val="20"/>
                <w:lang w:eastAsia="en-GB"/>
              </w:rPr>
              <w:t xml:space="preserve">age c/fwd </w:t>
            </w:r>
          </w:p>
        </w:tc>
        <w:tc>
          <w:tcPr>
            <w:tcW w:w="2126" w:type="dxa"/>
            <w:tcBorders>
              <w:top w:val="nil"/>
              <w:left w:val="nil"/>
              <w:bottom w:val="single" w:sz="8" w:space="0" w:color="auto"/>
              <w:right w:val="single" w:sz="8" w:space="0" w:color="auto"/>
            </w:tcBorders>
            <w:shd w:val="clear" w:color="000000" w:fill="D9D9D9"/>
            <w:vAlign w:val="center"/>
            <w:hideMark/>
          </w:tcPr>
          <w:p w14:paraId="1AFB9A75" w14:textId="77777777" w:rsidR="00D62E13" w:rsidRPr="00CD0ACD" w:rsidRDefault="00D62E13" w:rsidP="00443BB5">
            <w:pPr>
              <w:jc w:val="center"/>
              <w:rPr>
                <w:rFonts w:cs="Arial"/>
                <w:color w:val="000000"/>
                <w:sz w:val="20"/>
                <w:lang w:eastAsia="en-GB"/>
              </w:rPr>
            </w:pPr>
            <w:r w:rsidRPr="00CD0ACD">
              <w:rPr>
                <w:rFonts w:cs="Arial"/>
                <w:color w:val="000000"/>
                <w:sz w:val="20"/>
                <w:lang w:eastAsia="en-GB"/>
              </w:rPr>
              <w:t> </w:t>
            </w:r>
          </w:p>
        </w:tc>
        <w:tc>
          <w:tcPr>
            <w:tcW w:w="1437" w:type="dxa"/>
            <w:tcBorders>
              <w:top w:val="nil"/>
              <w:left w:val="nil"/>
              <w:bottom w:val="single" w:sz="8" w:space="0" w:color="auto"/>
              <w:right w:val="single" w:sz="8" w:space="0" w:color="auto"/>
            </w:tcBorders>
            <w:shd w:val="clear" w:color="auto" w:fill="auto"/>
            <w:vAlign w:val="center"/>
            <w:hideMark/>
          </w:tcPr>
          <w:p w14:paraId="41613E77" w14:textId="77777777" w:rsidR="00D62E13" w:rsidRPr="00CD0ACD" w:rsidRDefault="00D62E13" w:rsidP="00443BB5">
            <w:pPr>
              <w:jc w:val="right"/>
              <w:rPr>
                <w:rFonts w:cs="Arial"/>
                <w:color w:val="000000"/>
                <w:sz w:val="20"/>
                <w:lang w:eastAsia="en-GB"/>
              </w:rPr>
            </w:pPr>
            <w:r w:rsidRPr="00CD0ACD">
              <w:rPr>
                <w:rFonts w:cs="Arial"/>
                <w:color w:val="000000"/>
                <w:sz w:val="20"/>
                <w:lang w:eastAsia="en-GB"/>
              </w:rPr>
              <w:t> </w:t>
            </w:r>
          </w:p>
        </w:tc>
        <w:tc>
          <w:tcPr>
            <w:tcW w:w="1249" w:type="dxa"/>
            <w:tcBorders>
              <w:top w:val="nil"/>
              <w:left w:val="nil"/>
              <w:bottom w:val="single" w:sz="8" w:space="0" w:color="auto"/>
              <w:right w:val="single" w:sz="8" w:space="0" w:color="auto"/>
            </w:tcBorders>
            <w:shd w:val="clear" w:color="000000" w:fill="D9D9D9"/>
            <w:vAlign w:val="center"/>
            <w:hideMark/>
          </w:tcPr>
          <w:p w14:paraId="4AA62B67" w14:textId="77777777" w:rsidR="00D62E13" w:rsidRPr="00CD0ACD" w:rsidRDefault="00D62E13" w:rsidP="00443BB5">
            <w:pPr>
              <w:jc w:val="right"/>
              <w:rPr>
                <w:rFonts w:cs="Arial"/>
                <w:color w:val="000000"/>
                <w:sz w:val="20"/>
                <w:lang w:eastAsia="en-GB"/>
              </w:rPr>
            </w:pPr>
            <w:r w:rsidRPr="00CD0ACD">
              <w:rPr>
                <w:rFonts w:cs="Arial"/>
                <w:color w:val="FF0000"/>
                <w:sz w:val="20"/>
                <w:lang w:eastAsia="en-GB"/>
              </w:rPr>
              <w:t>-</w:t>
            </w:r>
            <w:r>
              <w:rPr>
                <w:rFonts w:cs="Arial"/>
                <w:color w:val="FF0000"/>
                <w:sz w:val="20"/>
                <w:lang w:eastAsia="en-GB"/>
              </w:rPr>
              <w:t>1,400,000</w:t>
            </w:r>
          </w:p>
        </w:tc>
        <w:tc>
          <w:tcPr>
            <w:tcW w:w="1384" w:type="dxa"/>
            <w:tcBorders>
              <w:top w:val="nil"/>
              <w:left w:val="nil"/>
              <w:bottom w:val="single" w:sz="8" w:space="0" w:color="auto"/>
              <w:right w:val="single" w:sz="8" w:space="0" w:color="auto"/>
            </w:tcBorders>
            <w:shd w:val="clear" w:color="auto" w:fill="auto"/>
            <w:vAlign w:val="center"/>
            <w:hideMark/>
          </w:tcPr>
          <w:p w14:paraId="63DBF5E4" w14:textId="77777777" w:rsidR="00D62E13" w:rsidRPr="00CD0ACD" w:rsidRDefault="00D62E13" w:rsidP="00443BB5">
            <w:pPr>
              <w:jc w:val="right"/>
              <w:rPr>
                <w:rFonts w:cs="Arial"/>
                <w:color w:val="000000"/>
                <w:sz w:val="20"/>
                <w:lang w:eastAsia="en-GB"/>
              </w:rPr>
            </w:pPr>
            <w:r>
              <w:rPr>
                <w:rFonts w:cs="Arial"/>
                <w:color w:val="000000"/>
                <w:sz w:val="20"/>
                <w:lang w:eastAsia="en-GB"/>
              </w:rPr>
              <w:t>1,400,000</w:t>
            </w:r>
          </w:p>
        </w:tc>
      </w:tr>
      <w:tr w:rsidR="00D62E13" w:rsidRPr="00CD0ACD" w14:paraId="6611F2B7" w14:textId="77777777" w:rsidTr="00443BB5">
        <w:trPr>
          <w:trHeight w:val="297"/>
        </w:trPr>
        <w:tc>
          <w:tcPr>
            <w:tcW w:w="2400" w:type="dxa"/>
            <w:tcBorders>
              <w:top w:val="nil"/>
              <w:left w:val="single" w:sz="8" w:space="0" w:color="auto"/>
              <w:bottom w:val="single" w:sz="8" w:space="0" w:color="auto"/>
              <w:right w:val="single" w:sz="8" w:space="0" w:color="auto"/>
            </w:tcBorders>
            <w:shd w:val="clear" w:color="000000" w:fill="F2F2F2"/>
            <w:vAlign w:val="center"/>
            <w:hideMark/>
          </w:tcPr>
          <w:p w14:paraId="1143EACC" w14:textId="77777777" w:rsidR="00D62E13" w:rsidRPr="00CD0ACD" w:rsidRDefault="00D62E13" w:rsidP="00443BB5">
            <w:pPr>
              <w:rPr>
                <w:rFonts w:cs="Arial"/>
                <w:color w:val="000000"/>
                <w:sz w:val="20"/>
                <w:lang w:eastAsia="en-GB"/>
              </w:rPr>
            </w:pPr>
            <w:r w:rsidRPr="00CD0ACD">
              <w:rPr>
                <w:rFonts w:cs="Arial"/>
                <w:color w:val="000000"/>
                <w:sz w:val="20"/>
                <w:lang w:eastAsia="en-GB"/>
              </w:rPr>
              <w:t> </w:t>
            </w:r>
          </w:p>
        </w:tc>
        <w:tc>
          <w:tcPr>
            <w:tcW w:w="2126" w:type="dxa"/>
            <w:tcBorders>
              <w:top w:val="nil"/>
              <w:left w:val="nil"/>
              <w:bottom w:val="single" w:sz="8" w:space="0" w:color="auto"/>
              <w:right w:val="single" w:sz="8" w:space="0" w:color="FFC000"/>
            </w:tcBorders>
            <w:shd w:val="clear" w:color="000000" w:fill="E5DFEC"/>
            <w:vAlign w:val="center"/>
            <w:hideMark/>
          </w:tcPr>
          <w:p w14:paraId="759359CA" w14:textId="77777777" w:rsidR="00D62E13" w:rsidRPr="00CD0ACD" w:rsidRDefault="00D62E13" w:rsidP="00443BB5">
            <w:pPr>
              <w:jc w:val="right"/>
              <w:rPr>
                <w:rFonts w:cs="Arial"/>
                <w:b/>
                <w:bCs/>
                <w:color w:val="000000"/>
                <w:sz w:val="20"/>
                <w:lang w:eastAsia="en-GB"/>
              </w:rPr>
            </w:pPr>
            <w:r w:rsidRPr="00CD0ACD">
              <w:rPr>
                <w:rFonts w:cs="Arial"/>
                <w:b/>
                <w:bCs/>
                <w:color w:val="000000"/>
                <w:sz w:val="20"/>
                <w:lang w:eastAsia="en-GB"/>
              </w:rPr>
              <w:t>Total</w:t>
            </w:r>
          </w:p>
        </w:tc>
        <w:tc>
          <w:tcPr>
            <w:tcW w:w="1437" w:type="dxa"/>
            <w:tcBorders>
              <w:top w:val="nil"/>
              <w:left w:val="nil"/>
              <w:bottom w:val="single" w:sz="8" w:space="0" w:color="auto"/>
              <w:right w:val="single" w:sz="8" w:space="0" w:color="auto"/>
            </w:tcBorders>
            <w:shd w:val="clear" w:color="000000" w:fill="E5DFEC"/>
            <w:vAlign w:val="center"/>
            <w:hideMark/>
          </w:tcPr>
          <w:p w14:paraId="30E897BD" w14:textId="77777777" w:rsidR="00D62E13" w:rsidRPr="00CD0ACD" w:rsidRDefault="00D62E13" w:rsidP="00443BB5">
            <w:pPr>
              <w:jc w:val="right"/>
              <w:rPr>
                <w:rFonts w:cs="Arial"/>
                <w:b/>
                <w:bCs/>
                <w:color w:val="000000"/>
                <w:sz w:val="20"/>
                <w:lang w:eastAsia="en-GB"/>
              </w:rPr>
            </w:pPr>
            <w:r w:rsidRPr="00CD0ACD">
              <w:rPr>
                <w:rFonts w:cs="Arial"/>
                <w:b/>
                <w:bCs/>
                <w:color w:val="000000"/>
                <w:sz w:val="20"/>
                <w:lang w:eastAsia="en-GB"/>
              </w:rPr>
              <w:t>4,000,000</w:t>
            </w:r>
          </w:p>
        </w:tc>
        <w:tc>
          <w:tcPr>
            <w:tcW w:w="1249" w:type="dxa"/>
            <w:tcBorders>
              <w:top w:val="nil"/>
              <w:left w:val="nil"/>
              <w:bottom w:val="single" w:sz="8" w:space="0" w:color="auto"/>
              <w:right w:val="single" w:sz="8" w:space="0" w:color="auto"/>
            </w:tcBorders>
            <w:shd w:val="clear" w:color="000000" w:fill="E5DFEC"/>
            <w:vAlign w:val="center"/>
            <w:hideMark/>
          </w:tcPr>
          <w:p w14:paraId="66120327" w14:textId="77777777" w:rsidR="00D62E13" w:rsidRPr="00CD0ACD" w:rsidRDefault="00D62E13" w:rsidP="00443BB5">
            <w:pPr>
              <w:jc w:val="right"/>
              <w:rPr>
                <w:rFonts w:cs="Arial"/>
                <w:b/>
                <w:bCs/>
                <w:color w:val="000000"/>
                <w:sz w:val="20"/>
                <w:lang w:eastAsia="en-GB"/>
              </w:rPr>
            </w:pPr>
            <w:r w:rsidRPr="00CD0ACD">
              <w:rPr>
                <w:rFonts w:cs="Arial"/>
                <w:b/>
                <w:bCs/>
                <w:color w:val="000000"/>
                <w:sz w:val="20"/>
                <w:lang w:eastAsia="en-GB"/>
              </w:rPr>
              <w:t>1,</w:t>
            </w:r>
            <w:r>
              <w:rPr>
                <w:rFonts w:cs="Arial"/>
                <w:b/>
                <w:bCs/>
                <w:color w:val="000000"/>
                <w:sz w:val="20"/>
                <w:lang w:eastAsia="en-GB"/>
              </w:rPr>
              <w:t>000,000</w:t>
            </w:r>
          </w:p>
        </w:tc>
        <w:tc>
          <w:tcPr>
            <w:tcW w:w="1384" w:type="dxa"/>
            <w:tcBorders>
              <w:top w:val="nil"/>
              <w:left w:val="nil"/>
              <w:bottom w:val="single" w:sz="8" w:space="0" w:color="auto"/>
              <w:right w:val="single" w:sz="8" w:space="0" w:color="auto"/>
            </w:tcBorders>
            <w:shd w:val="clear" w:color="000000" w:fill="E5DFEC"/>
            <w:vAlign w:val="center"/>
            <w:hideMark/>
          </w:tcPr>
          <w:p w14:paraId="5C0FD2AC" w14:textId="77777777" w:rsidR="00D62E13" w:rsidRPr="00CD0ACD" w:rsidRDefault="00D62E13" w:rsidP="00443BB5">
            <w:pPr>
              <w:jc w:val="right"/>
              <w:rPr>
                <w:rFonts w:cs="Arial"/>
                <w:b/>
                <w:bCs/>
                <w:color w:val="000000"/>
                <w:sz w:val="20"/>
                <w:lang w:eastAsia="en-GB"/>
              </w:rPr>
            </w:pPr>
            <w:r>
              <w:rPr>
                <w:rFonts w:cs="Arial"/>
                <w:b/>
                <w:bCs/>
                <w:color w:val="000000"/>
                <w:sz w:val="20"/>
                <w:lang w:eastAsia="en-GB"/>
              </w:rPr>
              <w:t>3,000,000</w:t>
            </w:r>
          </w:p>
        </w:tc>
      </w:tr>
      <w:tr w:rsidR="00D62E13" w:rsidRPr="00CD0ACD" w14:paraId="6C296BA6" w14:textId="77777777" w:rsidTr="00443BB5">
        <w:trPr>
          <w:trHeight w:val="297"/>
        </w:trPr>
        <w:tc>
          <w:tcPr>
            <w:tcW w:w="2400" w:type="dxa"/>
            <w:tcBorders>
              <w:top w:val="nil"/>
              <w:left w:val="single" w:sz="8" w:space="0" w:color="auto"/>
              <w:bottom w:val="single" w:sz="8" w:space="0" w:color="auto"/>
              <w:right w:val="single" w:sz="8" w:space="0" w:color="auto"/>
            </w:tcBorders>
            <w:shd w:val="clear" w:color="000000" w:fill="F2F2F2"/>
            <w:vAlign w:val="center"/>
          </w:tcPr>
          <w:p w14:paraId="59993557" w14:textId="77777777" w:rsidR="00D62E13" w:rsidRPr="00CD0ACD" w:rsidRDefault="00D62E13" w:rsidP="00443BB5">
            <w:pPr>
              <w:rPr>
                <w:rFonts w:cs="Arial"/>
                <w:color w:val="000000"/>
                <w:sz w:val="20"/>
                <w:lang w:eastAsia="en-GB"/>
              </w:rPr>
            </w:pPr>
          </w:p>
        </w:tc>
        <w:tc>
          <w:tcPr>
            <w:tcW w:w="2126" w:type="dxa"/>
            <w:tcBorders>
              <w:top w:val="nil"/>
              <w:left w:val="nil"/>
              <w:bottom w:val="single" w:sz="8" w:space="0" w:color="auto"/>
              <w:right w:val="single" w:sz="8" w:space="0" w:color="FFC000"/>
            </w:tcBorders>
            <w:shd w:val="clear" w:color="000000" w:fill="E5DFEC"/>
            <w:vAlign w:val="center"/>
          </w:tcPr>
          <w:p w14:paraId="65A022CB" w14:textId="77777777" w:rsidR="00D62E13" w:rsidRPr="00CD0ACD" w:rsidRDefault="00D62E13" w:rsidP="00443BB5">
            <w:pPr>
              <w:jc w:val="right"/>
              <w:rPr>
                <w:rFonts w:cs="Arial"/>
                <w:b/>
                <w:bCs/>
                <w:color w:val="000000"/>
                <w:sz w:val="20"/>
                <w:lang w:eastAsia="en-GB"/>
              </w:rPr>
            </w:pPr>
          </w:p>
        </w:tc>
        <w:tc>
          <w:tcPr>
            <w:tcW w:w="1437" w:type="dxa"/>
            <w:tcBorders>
              <w:top w:val="nil"/>
              <w:left w:val="nil"/>
              <w:bottom w:val="single" w:sz="8" w:space="0" w:color="auto"/>
              <w:right w:val="single" w:sz="8" w:space="0" w:color="auto"/>
            </w:tcBorders>
            <w:shd w:val="clear" w:color="000000" w:fill="E5DFEC"/>
            <w:vAlign w:val="center"/>
          </w:tcPr>
          <w:p w14:paraId="4B63BDEE" w14:textId="77777777" w:rsidR="00D62E13" w:rsidRPr="00CD0ACD" w:rsidRDefault="00D62E13" w:rsidP="00443BB5">
            <w:pPr>
              <w:jc w:val="right"/>
              <w:rPr>
                <w:rFonts w:cs="Arial"/>
                <w:b/>
                <w:bCs/>
                <w:color w:val="000000"/>
                <w:sz w:val="20"/>
                <w:lang w:eastAsia="en-GB"/>
              </w:rPr>
            </w:pPr>
          </w:p>
        </w:tc>
        <w:tc>
          <w:tcPr>
            <w:tcW w:w="1249" w:type="dxa"/>
            <w:tcBorders>
              <w:top w:val="nil"/>
              <w:left w:val="nil"/>
              <w:bottom w:val="single" w:sz="8" w:space="0" w:color="auto"/>
              <w:right w:val="single" w:sz="8" w:space="0" w:color="auto"/>
            </w:tcBorders>
            <w:shd w:val="clear" w:color="000000" w:fill="E5DFEC"/>
            <w:vAlign w:val="center"/>
          </w:tcPr>
          <w:p w14:paraId="4C7A3AC9" w14:textId="77777777" w:rsidR="00D62E13" w:rsidRPr="00CD0ACD" w:rsidRDefault="00D62E13" w:rsidP="00443BB5">
            <w:pPr>
              <w:jc w:val="right"/>
              <w:rPr>
                <w:rFonts w:cs="Arial"/>
                <w:b/>
                <w:bCs/>
                <w:color w:val="000000"/>
                <w:sz w:val="20"/>
                <w:lang w:eastAsia="en-GB"/>
              </w:rPr>
            </w:pPr>
          </w:p>
        </w:tc>
        <w:tc>
          <w:tcPr>
            <w:tcW w:w="1384" w:type="dxa"/>
            <w:tcBorders>
              <w:top w:val="nil"/>
              <w:left w:val="nil"/>
              <w:bottom w:val="single" w:sz="8" w:space="0" w:color="auto"/>
              <w:right w:val="single" w:sz="8" w:space="0" w:color="auto"/>
            </w:tcBorders>
            <w:shd w:val="clear" w:color="000000" w:fill="E5DFEC"/>
            <w:vAlign w:val="center"/>
          </w:tcPr>
          <w:p w14:paraId="082E1D5F" w14:textId="77777777" w:rsidR="00D62E13" w:rsidRDefault="00D62E13" w:rsidP="00443BB5">
            <w:pPr>
              <w:jc w:val="right"/>
              <w:rPr>
                <w:rFonts w:cs="Arial"/>
                <w:b/>
                <w:bCs/>
                <w:color w:val="000000"/>
                <w:sz w:val="20"/>
                <w:lang w:eastAsia="en-GB"/>
              </w:rPr>
            </w:pPr>
          </w:p>
        </w:tc>
      </w:tr>
    </w:tbl>
    <w:p w14:paraId="0C13AA9B" w14:textId="77777777" w:rsidR="00D62E13" w:rsidRPr="00557DA8" w:rsidRDefault="00D62E13" w:rsidP="00D62E13">
      <w:pPr>
        <w:spacing w:line="259" w:lineRule="auto"/>
        <w:ind w:left="720"/>
      </w:pPr>
    </w:p>
    <w:p w14:paraId="6984B3FA" w14:textId="77777777" w:rsidR="00D62E13" w:rsidRPr="00421A4C" w:rsidRDefault="00D62E13" w:rsidP="00D62E13">
      <w:pPr>
        <w:rPr>
          <w:rFonts w:cs="Arial"/>
        </w:rPr>
      </w:pPr>
    </w:p>
    <w:p w14:paraId="22F97C74" w14:textId="77777777" w:rsidR="00D62E13" w:rsidRPr="00FC06AB" w:rsidRDefault="00D62E13" w:rsidP="00D62E13">
      <w:pPr>
        <w:pStyle w:val="ListParagraph"/>
        <w:numPr>
          <w:ilvl w:val="2"/>
          <w:numId w:val="24"/>
        </w:numPr>
        <w:jc w:val="both"/>
        <w:rPr>
          <w:rFonts w:cs="Arial"/>
        </w:rPr>
      </w:pPr>
      <w:r w:rsidRPr="00FC06AB">
        <w:rPr>
          <w:rFonts w:cs="Arial"/>
        </w:rPr>
        <w:t>The 2021/22 HRA Planned Investment Budget for Capital contains sufficient funding for the £2.4m approved by Cabinet in March 2020 for the Homesafe-3 scheme as detailed in item 2.11 Table 1 above. The additional £1.6m expenditure identified within this report can be contained within the current HRA Planned Investment Capital Budget for 2022/23 of £5.895m approved by Council in February 2021</w:t>
      </w:r>
      <w:r w:rsidRPr="003D4A86">
        <w:t xml:space="preserve"> </w:t>
      </w:r>
      <w:r>
        <w:t>with no impact on General Fund and no requirement for additional borrowing.</w:t>
      </w:r>
      <w:r w:rsidRPr="00CF36AA">
        <w:t xml:space="preserve"> </w:t>
      </w:r>
      <w:r>
        <w:rPr>
          <w:rFonts w:cs="Arial"/>
        </w:rPr>
        <w:t xml:space="preserve"> </w:t>
      </w:r>
    </w:p>
    <w:p w14:paraId="58282091" w14:textId="77777777" w:rsidR="00D62E13" w:rsidRDefault="00D62E13" w:rsidP="00D62E13">
      <w:pPr>
        <w:jc w:val="both"/>
        <w:rPr>
          <w:rFonts w:cs="Arial"/>
        </w:rPr>
      </w:pPr>
    </w:p>
    <w:p w14:paraId="16763DE2" w14:textId="77777777" w:rsidR="00D62E13" w:rsidRDefault="00D62E13" w:rsidP="00D62E13">
      <w:pPr>
        <w:ind w:left="720"/>
        <w:jc w:val="both"/>
        <w:rPr>
          <w:rFonts w:cs="Arial"/>
        </w:rPr>
      </w:pPr>
      <w:r>
        <w:rPr>
          <w:rFonts w:cs="Arial"/>
        </w:rPr>
        <w:lastRenderedPageBreak/>
        <w:t xml:space="preserve">The estimated £4.0m budget is inclusive of </w:t>
      </w:r>
      <w:r>
        <w:t>the tendered sum, contingency, associated pre-start works, consultancy costs, and capitalised staffing costs</w:t>
      </w:r>
      <w:r>
        <w:rPr>
          <w:rFonts w:cs="Arial"/>
        </w:rPr>
        <w:t>.</w:t>
      </w:r>
    </w:p>
    <w:p w14:paraId="5130CD75" w14:textId="77777777" w:rsidR="00D62E13" w:rsidRDefault="00D62E13" w:rsidP="00D62E13">
      <w:pPr>
        <w:ind w:left="720"/>
        <w:jc w:val="both"/>
        <w:rPr>
          <w:rFonts w:cs="Arial"/>
        </w:rPr>
      </w:pPr>
    </w:p>
    <w:p w14:paraId="5846F0D9" w14:textId="77777777" w:rsidR="00D62E13" w:rsidRPr="00FC06AB" w:rsidRDefault="00D62E13" w:rsidP="00D62E13">
      <w:pPr>
        <w:ind w:left="709" w:hanging="709"/>
        <w:jc w:val="both"/>
        <w:rPr>
          <w:rFonts w:cs="Arial"/>
        </w:rPr>
      </w:pPr>
      <w:r>
        <w:t>2.11.3 The tender documents will include a requirement to pay the London living Wage (LLW).</w:t>
      </w:r>
    </w:p>
    <w:p w14:paraId="34928B86" w14:textId="77777777" w:rsidR="00D62E13" w:rsidRPr="00421A4C" w:rsidRDefault="00D62E13" w:rsidP="00D62E13">
      <w:pPr>
        <w:rPr>
          <w:rFonts w:cs="Arial"/>
        </w:rPr>
      </w:pPr>
    </w:p>
    <w:p w14:paraId="74FF7396" w14:textId="77777777" w:rsidR="00D62E13" w:rsidRPr="00FC06AB" w:rsidRDefault="00D62E13" w:rsidP="00D62E13">
      <w:pPr>
        <w:ind w:left="709" w:hanging="709"/>
        <w:rPr>
          <w:rFonts w:cs="Arial"/>
        </w:rPr>
      </w:pPr>
      <w:r w:rsidRPr="00FC06AB">
        <w:rPr>
          <w:rFonts w:cs="Arial"/>
        </w:rPr>
        <w:t>2.11.4</w:t>
      </w:r>
      <w:r>
        <w:rPr>
          <w:rFonts w:cs="Arial"/>
        </w:rPr>
        <w:t xml:space="preserve"> </w:t>
      </w:r>
      <w:r w:rsidRPr="00FC06AB">
        <w:rPr>
          <w:rFonts w:cs="Arial"/>
        </w:rPr>
        <w:t xml:space="preserve">Works will be subject to VAT which will be reclaimed from Customs </w:t>
      </w:r>
      <w:r>
        <w:rPr>
          <w:rFonts w:cs="Arial"/>
        </w:rPr>
        <w:t xml:space="preserve">   </w:t>
      </w:r>
      <w:r w:rsidRPr="00FC06AB">
        <w:rPr>
          <w:rFonts w:cs="Arial"/>
        </w:rPr>
        <w:t>and Excise.</w:t>
      </w:r>
    </w:p>
    <w:p w14:paraId="07022E84" w14:textId="77777777" w:rsidR="00D62E13" w:rsidRPr="00421A4C" w:rsidRDefault="00D62E13" w:rsidP="00D62E13">
      <w:pPr>
        <w:rPr>
          <w:rFonts w:cs="Arial"/>
        </w:rPr>
      </w:pPr>
    </w:p>
    <w:p w14:paraId="5B4C7BEA" w14:textId="34DA772C" w:rsidR="00A1211C" w:rsidRPr="00421A4C" w:rsidRDefault="00D62E13" w:rsidP="00297385">
      <w:pPr>
        <w:pStyle w:val="ListParagraph"/>
        <w:ind w:hanging="720"/>
        <w:rPr>
          <w:rFonts w:cs="Arial"/>
        </w:rPr>
      </w:pPr>
      <w:r>
        <w:rPr>
          <w:rFonts w:cs="Arial"/>
        </w:rPr>
        <w:t xml:space="preserve">2.11.5 </w:t>
      </w:r>
      <w:r w:rsidRPr="00657349">
        <w:rPr>
          <w:rFonts w:cs="Arial"/>
        </w:rPr>
        <w:t xml:space="preserve">A proportion of the contract costs will be recharged to Leaseholders under Statutory Section 20 procedures. </w:t>
      </w:r>
    </w:p>
    <w:p w14:paraId="41D80CF8" w14:textId="2D8E0A0A" w:rsidR="00333FAA" w:rsidRDefault="00657349" w:rsidP="00A1211C">
      <w:pPr>
        <w:pStyle w:val="Heading3"/>
        <w:spacing w:before="480" w:after="240"/>
      </w:pPr>
      <w:r w:rsidRPr="004D68EA">
        <w:t>2.12</w:t>
      </w:r>
      <w:r w:rsidR="00262CD3" w:rsidRPr="004D68EA">
        <w:t>.</w:t>
      </w:r>
      <w:r w:rsidR="00937E4E" w:rsidRPr="004D68EA">
        <w:tab/>
      </w:r>
      <w:r w:rsidR="00333FAA" w:rsidRPr="004D68EA">
        <w:t>Equalities</w:t>
      </w:r>
      <w:r w:rsidR="00333FAA" w:rsidRPr="004A2543">
        <w:t xml:space="preserve"> </w:t>
      </w:r>
      <w:r w:rsidR="000136F3">
        <w:t>I</w:t>
      </w:r>
      <w:r w:rsidR="00333FAA" w:rsidRPr="004A2543">
        <w:t>mplications</w:t>
      </w:r>
      <w:r w:rsidR="001C7E35">
        <w:t xml:space="preserve"> </w:t>
      </w:r>
      <w:r w:rsidR="00333FAA" w:rsidRPr="00333FAA">
        <w:t>/</w:t>
      </w:r>
      <w:r w:rsidR="001C7E35">
        <w:t xml:space="preserve"> </w:t>
      </w:r>
      <w:r w:rsidR="00333FAA" w:rsidRPr="00333FAA">
        <w:t>Public Sector Equality Duty</w:t>
      </w:r>
    </w:p>
    <w:p w14:paraId="2BC8F0BF" w14:textId="4CEDDD4E" w:rsidR="008A2869" w:rsidRPr="008A2869" w:rsidRDefault="008A2869" w:rsidP="000A25DD">
      <w:pPr>
        <w:shd w:val="clear" w:color="auto" w:fill="FFFFFF"/>
        <w:ind w:left="720" w:hanging="720"/>
        <w:jc w:val="both"/>
        <w:rPr>
          <w:rFonts w:cs="Arial"/>
          <w:color w:val="242424"/>
          <w:sz w:val="21"/>
          <w:szCs w:val="21"/>
          <w:lang w:eastAsia="en-GB"/>
        </w:rPr>
      </w:pPr>
      <w:r>
        <w:rPr>
          <w:rFonts w:cs="Arial"/>
          <w:color w:val="242424"/>
          <w:szCs w:val="24"/>
          <w:lang w:eastAsia="en-GB"/>
        </w:rPr>
        <w:t>2.12.1</w:t>
      </w:r>
      <w:r>
        <w:rPr>
          <w:rFonts w:cs="Arial"/>
          <w:color w:val="242424"/>
          <w:szCs w:val="24"/>
          <w:lang w:eastAsia="en-GB"/>
        </w:rPr>
        <w:tab/>
      </w:r>
      <w:r w:rsidRPr="008A2869">
        <w:rPr>
          <w:rFonts w:cs="Arial"/>
          <w:color w:val="242424"/>
          <w:szCs w:val="24"/>
          <w:lang w:eastAsia="en-GB"/>
        </w:rPr>
        <w:t>The procurement exercise will be designed to deliver existing policies and strategies maintaining the current level of equality in service</w:t>
      </w:r>
      <w:r>
        <w:rPr>
          <w:rFonts w:cs="Arial"/>
          <w:color w:val="242424"/>
          <w:szCs w:val="24"/>
          <w:lang w:eastAsia="en-GB"/>
        </w:rPr>
        <w:t xml:space="preserve"> </w:t>
      </w:r>
      <w:r w:rsidRPr="008A2869">
        <w:rPr>
          <w:rFonts w:cs="Arial"/>
          <w:color w:val="242424"/>
          <w:szCs w:val="24"/>
          <w:lang w:eastAsia="en-GB"/>
        </w:rPr>
        <w:t>provision. The contract specification will be very clear on the equalities related duties on contractors, given the wide range of needs of our customers.</w:t>
      </w:r>
    </w:p>
    <w:p w14:paraId="56C887BB" w14:textId="77777777" w:rsidR="008A2869" w:rsidRPr="008A2869" w:rsidRDefault="008A2869" w:rsidP="008A2869">
      <w:pPr>
        <w:shd w:val="clear" w:color="auto" w:fill="FFFFFF"/>
        <w:rPr>
          <w:rFonts w:cs="Arial"/>
          <w:color w:val="242424"/>
          <w:sz w:val="21"/>
          <w:szCs w:val="21"/>
          <w:lang w:eastAsia="en-GB"/>
        </w:rPr>
      </w:pPr>
    </w:p>
    <w:p w14:paraId="660C018C" w14:textId="6A3E1172" w:rsidR="008A2869" w:rsidRPr="008A2869" w:rsidRDefault="008A2869" w:rsidP="000A25DD">
      <w:pPr>
        <w:shd w:val="clear" w:color="auto" w:fill="FFFFFF"/>
        <w:ind w:left="720" w:hanging="720"/>
        <w:jc w:val="both"/>
        <w:rPr>
          <w:rFonts w:cs="Arial"/>
          <w:color w:val="242424"/>
          <w:sz w:val="21"/>
          <w:szCs w:val="21"/>
          <w:lang w:eastAsia="en-GB"/>
        </w:rPr>
      </w:pPr>
      <w:r>
        <w:rPr>
          <w:rFonts w:cs="Arial"/>
          <w:color w:val="242424"/>
          <w:szCs w:val="24"/>
          <w:lang w:eastAsia="en-GB"/>
        </w:rPr>
        <w:t>2.12.2</w:t>
      </w:r>
      <w:r>
        <w:rPr>
          <w:rFonts w:cs="Arial"/>
          <w:color w:val="242424"/>
          <w:szCs w:val="24"/>
          <w:lang w:eastAsia="en-GB"/>
        </w:rPr>
        <w:tab/>
      </w:r>
      <w:r w:rsidRPr="008A2869">
        <w:rPr>
          <w:rFonts w:cs="Arial"/>
          <w:color w:val="242424"/>
          <w:szCs w:val="24"/>
          <w:lang w:eastAsia="en-GB"/>
        </w:rPr>
        <w:t>An initial Equality Impact Assessment has been prepared specifically for the procurement exercise. This identified no need for a full assessment at this stage because it did not identify any potential for unlawful conduct or disproportionate impact. All opportunities to address diversity-particularly vulnerability for all tenants and will be addressed through the contract specification and ensure residents receive the same service regardless of but taking into account specific needs. We will address these in our tendering documents and processes. The assessment will be updated as the contract moves forward.</w:t>
      </w:r>
    </w:p>
    <w:p w14:paraId="0E9ED8C5" w14:textId="05FBF0C5" w:rsidR="00333FAA" w:rsidRPr="009117F2" w:rsidRDefault="00657349" w:rsidP="576EF44A">
      <w:pPr>
        <w:pStyle w:val="Heading3"/>
        <w:spacing w:before="480" w:after="240"/>
        <w:ind w:left="0" w:firstLine="0"/>
        <w:rPr>
          <w:rFonts w:eastAsia="Arial"/>
          <w:b w:val="0"/>
          <w:bCs w:val="0"/>
          <w:color w:val="0000FF"/>
          <w:sz w:val="24"/>
          <w:szCs w:val="24"/>
        </w:rPr>
      </w:pPr>
      <w:r>
        <w:t>2.13</w:t>
      </w:r>
      <w:r w:rsidR="00D103F2">
        <w:t>.</w:t>
      </w:r>
      <w:r w:rsidR="00D103F2">
        <w:tab/>
      </w:r>
      <w:r w:rsidR="00333FAA">
        <w:t>Council Priorities</w:t>
      </w:r>
    </w:p>
    <w:p w14:paraId="2602250F" w14:textId="532D9F57" w:rsidR="00D07F46" w:rsidRPr="008A2869" w:rsidRDefault="00D0381E" w:rsidP="00D740A9">
      <w:pPr>
        <w:pStyle w:val="ListParagraph"/>
        <w:autoSpaceDE w:val="0"/>
        <w:autoSpaceDN w:val="0"/>
        <w:spacing w:before="240"/>
        <w:rPr>
          <w:b/>
          <w:bCs/>
        </w:rPr>
      </w:pPr>
      <w:r w:rsidRPr="00D0381E">
        <w:rPr>
          <w:b/>
        </w:rPr>
        <w:t>Improving the environment and addressing climate change</w:t>
      </w:r>
    </w:p>
    <w:p w14:paraId="5DEF5EF2" w14:textId="77777777" w:rsidR="00D740A9" w:rsidRDefault="00D740A9" w:rsidP="008A2869">
      <w:pPr>
        <w:pStyle w:val="ListParagraph"/>
        <w:autoSpaceDE w:val="0"/>
        <w:autoSpaceDN w:val="0"/>
        <w:contextualSpacing/>
        <w:jc w:val="both"/>
      </w:pPr>
    </w:p>
    <w:p w14:paraId="56FC7060" w14:textId="2A2969F7" w:rsidR="00D740A9" w:rsidRPr="000A25DD" w:rsidRDefault="008A2869" w:rsidP="000A25DD">
      <w:pPr>
        <w:pStyle w:val="ListParagraph"/>
        <w:autoSpaceDE w:val="0"/>
        <w:autoSpaceDN w:val="0"/>
        <w:contextualSpacing/>
        <w:jc w:val="both"/>
      </w:pPr>
      <w:r>
        <w:t>The procurement of this contract will expect the incumbent contractors to agree on ways to implement relevant measures in response to the Council’s declared Climate Emergency.</w:t>
      </w:r>
    </w:p>
    <w:p w14:paraId="067BF347" w14:textId="1B8EF93E" w:rsidR="00D740A9" w:rsidRPr="00D740A9" w:rsidRDefault="00D0381E" w:rsidP="00D740A9">
      <w:pPr>
        <w:pStyle w:val="ListParagraph"/>
        <w:autoSpaceDE w:val="0"/>
        <w:autoSpaceDN w:val="0"/>
        <w:spacing w:before="240"/>
        <w:rPr>
          <w:b/>
          <w:bCs/>
        </w:rPr>
      </w:pPr>
      <w:r w:rsidRPr="00D0381E">
        <w:rPr>
          <w:b/>
        </w:rPr>
        <w:t>Building homes and infrastructure</w:t>
      </w:r>
    </w:p>
    <w:p w14:paraId="7A0B9B76" w14:textId="54D23016" w:rsidR="00D740A9" w:rsidRPr="00D740A9" w:rsidRDefault="00D740A9" w:rsidP="00D740A9">
      <w:pPr>
        <w:autoSpaceDE w:val="0"/>
        <w:autoSpaceDN w:val="0"/>
        <w:spacing w:before="240"/>
        <w:ind w:left="720"/>
        <w:rPr>
          <w:b/>
          <w:bCs/>
        </w:rPr>
      </w:pPr>
      <w:r w:rsidRPr="00D740A9">
        <w:t>This contract</w:t>
      </w:r>
      <w:r>
        <w:t xml:space="preserve"> provides vital safety and security infrastructure such as communal and flat fire doors, compartmentation and door security measures.</w:t>
      </w:r>
    </w:p>
    <w:p w14:paraId="53B22976" w14:textId="7060B837" w:rsidR="00D07F46" w:rsidRDefault="00D0381E" w:rsidP="00D740A9">
      <w:pPr>
        <w:pStyle w:val="ListParagraph"/>
        <w:autoSpaceDE w:val="0"/>
        <w:autoSpaceDN w:val="0"/>
        <w:spacing w:before="240"/>
        <w:rPr>
          <w:b/>
        </w:rPr>
      </w:pPr>
      <w:r w:rsidRPr="00D0381E">
        <w:rPr>
          <w:b/>
        </w:rPr>
        <w:t>Addressing health and social care inequality</w:t>
      </w:r>
    </w:p>
    <w:p w14:paraId="622A4ED6" w14:textId="77777777" w:rsidR="00D740A9" w:rsidRDefault="00D740A9" w:rsidP="008A2869">
      <w:pPr>
        <w:autoSpaceDE w:val="0"/>
        <w:autoSpaceDN w:val="0"/>
        <w:ind w:left="720"/>
        <w:contextualSpacing/>
        <w:jc w:val="both"/>
      </w:pPr>
    </w:p>
    <w:p w14:paraId="5652E4F3" w14:textId="2D6FFD33" w:rsidR="008A2869" w:rsidRDefault="008A2869" w:rsidP="008A2869">
      <w:pPr>
        <w:autoSpaceDE w:val="0"/>
        <w:autoSpaceDN w:val="0"/>
        <w:ind w:left="720"/>
        <w:contextualSpacing/>
        <w:jc w:val="both"/>
        <w:rPr>
          <w:lang w:eastAsia="en-GB"/>
        </w:rPr>
      </w:pPr>
      <w:r>
        <w:t>The procured contractor will deliver existing policies and strategies maintaining the current level of equality in service provision. The contract specification will be very clear on the equalities related duties on contractors, given the wide range of needs of our customers.</w:t>
      </w:r>
      <w:r w:rsidR="00D740A9">
        <w:t xml:space="preserve"> </w:t>
      </w:r>
      <w:r>
        <w:t xml:space="preserve">The </w:t>
      </w:r>
      <w:r>
        <w:lastRenderedPageBreak/>
        <w:t xml:space="preserve">specification for the contract will ensure that the successful contractor is equipped to provide a high level of customer service to all our residents. </w:t>
      </w:r>
    </w:p>
    <w:p w14:paraId="2EC0A3F0" w14:textId="66EEE61D" w:rsidR="00F13D43" w:rsidRDefault="00D0381E" w:rsidP="00D740A9">
      <w:pPr>
        <w:pStyle w:val="ListParagraph"/>
        <w:autoSpaceDE w:val="0"/>
        <w:autoSpaceDN w:val="0"/>
        <w:spacing w:before="240"/>
        <w:rPr>
          <w:b/>
        </w:rPr>
      </w:pPr>
      <w:r w:rsidRPr="00D0381E">
        <w:rPr>
          <w:b/>
        </w:rPr>
        <w:t>Thriving economy</w:t>
      </w:r>
    </w:p>
    <w:p w14:paraId="77ACADAB" w14:textId="77777777" w:rsidR="00297385" w:rsidRDefault="00297385" w:rsidP="008A2869">
      <w:pPr>
        <w:pStyle w:val="ListParagraph"/>
        <w:jc w:val="both"/>
      </w:pPr>
    </w:p>
    <w:p w14:paraId="642FA32A" w14:textId="29135718" w:rsidR="000A25DD" w:rsidRDefault="008A2869" w:rsidP="008A2869">
      <w:pPr>
        <w:pStyle w:val="ListParagraph"/>
        <w:jc w:val="both"/>
      </w:pPr>
      <w:r>
        <w:t>The Council’s tender exercise will need to demonstrate that any potential contractors are proactive</w:t>
      </w:r>
      <w:r w:rsidR="00D740A9">
        <w:t>ly</w:t>
      </w:r>
      <w:r>
        <w:t xml:space="preserve"> engaging with Harrow Council’s Community Engagement strategy, and their financial commitment will help to drive and deliver meaningful social value initiatives across the borough. </w:t>
      </w:r>
      <w:r w:rsidR="00D740A9">
        <w:t>The tender evaluation criteria includes measuring potential contractors on their Social Value offering including training and apprenticeships and employing local people and using local supply chains.</w:t>
      </w:r>
    </w:p>
    <w:p w14:paraId="5514D939" w14:textId="77777777" w:rsidR="00333FAA" w:rsidRDefault="00333FAA" w:rsidP="000B7C66">
      <w:pPr>
        <w:pStyle w:val="Heading2"/>
        <w:spacing w:before="480" w:after="240"/>
      </w:pPr>
      <w:r>
        <w:t>Section 3 - Statutory Officer Clearance</w:t>
      </w:r>
    </w:p>
    <w:p w14:paraId="3B5D52F9" w14:textId="7F57BE4D" w:rsidR="00A66326" w:rsidRPr="00A66326" w:rsidRDefault="00A66326" w:rsidP="00A66326">
      <w:pPr>
        <w:rPr>
          <w:sz w:val="28"/>
        </w:rPr>
      </w:pPr>
      <w:r w:rsidRPr="00A66326">
        <w:rPr>
          <w:b/>
          <w:sz w:val="28"/>
        </w:rPr>
        <w:t xml:space="preserve">Statutory Officer: </w:t>
      </w:r>
      <w:r w:rsidR="00944DEA">
        <w:rPr>
          <w:b/>
          <w:sz w:val="28"/>
        </w:rPr>
        <w:t>Tasleem Kazmi</w:t>
      </w:r>
      <w:r w:rsidRPr="00A66326">
        <w:rPr>
          <w:b/>
          <w:sz w:val="28"/>
        </w:rPr>
        <w:t xml:space="preserve"> </w:t>
      </w:r>
    </w:p>
    <w:p w14:paraId="06450070" w14:textId="3B82B93F" w:rsidR="00A66326" w:rsidRPr="00A66326" w:rsidRDefault="00A66326" w:rsidP="00A66326">
      <w:r w:rsidRPr="00A66326">
        <w:t>Signed on behalf of the Chief Financial Officer</w:t>
      </w:r>
    </w:p>
    <w:p w14:paraId="0E056075" w14:textId="77777777" w:rsidR="005A5032" w:rsidRDefault="00A66326" w:rsidP="005A5032">
      <w:pPr>
        <w:spacing w:after="480"/>
        <w:rPr>
          <w:sz w:val="28"/>
        </w:rPr>
      </w:pPr>
      <w:r w:rsidRPr="00A66326">
        <w:rPr>
          <w:b/>
          <w:sz w:val="28"/>
        </w:rPr>
        <w:t xml:space="preserve">Date:  </w:t>
      </w:r>
      <w:r w:rsidR="00D91D10">
        <w:rPr>
          <w:b/>
          <w:sz w:val="28"/>
        </w:rPr>
        <w:t>7</w:t>
      </w:r>
      <w:r w:rsidR="00D91D10" w:rsidRPr="00D91D10">
        <w:rPr>
          <w:b/>
          <w:sz w:val="28"/>
          <w:vertAlign w:val="superscript"/>
        </w:rPr>
        <w:t>th</w:t>
      </w:r>
      <w:r w:rsidR="00D91D10">
        <w:rPr>
          <w:b/>
          <w:sz w:val="28"/>
        </w:rPr>
        <w:t xml:space="preserve"> October 2021</w:t>
      </w:r>
    </w:p>
    <w:p w14:paraId="596251F2" w14:textId="77777777" w:rsidR="00297385" w:rsidRDefault="00A66326" w:rsidP="00297385">
      <w:pPr>
        <w:rPr>
          <w:b/>
          <w:sz w:val="28"/>
        </w:rPr>
      </w:pPr>
      <w:r w:rsidRPr="00A66326">
        <w:rPr>
          <w:b/>
          <w:sz w:val="28"/>
        </w:rPr>
        <w:t xml:space="preserve">Statutory Officer: </w:t>
      </w:r>
      <w:r w:rsidR="00C4064D">
        <w:rPr>
          <w:b/>
          <w:sz w:val="28"/>
        </w:rPr>
        <w:t>Stephen Dorrian</w:t>
      </w:r>
    </w:p>
    <w:p w14:paraId="76F84634" w14:textId="51919733" w:rsidR="00A66326" w:rsidRPr="005A5032" w:rsidRDefault="00A66326" w:rsidP="00297385">
      <w:pPr>
        <w:rPr>
          <w:sz w:val="28"/>
        </w:rPr>
      </w:pPr>
      <w:r w:rsidRPr="00A66326">
        <w:t>Signed on behalf of the Monitoring Officer</w:t>
      </w:r>
    </w:p>
    <w:p w14:paraId="1AC0D358" w14:textId="4BB6C9C4" w:rsidR="00A66326" w:rsidRPr="003313EA" w:rsidRDefault="00A66326" w:rsidP="00A66326">
      <w:pPr>
        <w:spacing w:after="480"/>
        <w:rPr>
          <w:sz w:val="28"/>
        </w:rPr>
      </w:pPr>
      <w:r w:rsidRPr="00A66326">
        <w:rPr>
          <w:b/>
          <w:sz w:val="28"/>
        </w:rPr>
        <w:t xml:space="preserve">Date:  </w:t>
      </w:r>
      <w:r w:rsidR="00C4064D">
        <w:rPr>
          <w:b/>
          <w:sz w:val="28"/>
        </w:rPr>
        <w:t>6</w:t>
      </w:r>
      <w:r w:rsidR="00C4064D" w:rsidRPr="00C4064D">
        <w:rPr>
          <w:b/>
          <w:sz w:val="28"/>
          <w:vertAlign w:val="superscript"/>
        </w:rPr>
        <w:t>th</w:t>
      </w:r>
      <w:r w:rsidR="00C4064D">
        <w:rPr>
          <w:b/>
          <w:sz w:val="28"/>
        </w:rPr>
        <w:t xml:space="preserve"> October 2021</w:t>
      </w:r>
    </w:p>
    <w:p w14:paraId="31D8FA55" w14:textId="2C0847C3" w:rsidR="00BF5AFA" w:rsidRPr="00A66326" w:rsidRDefault="00BF5AFA" w:rsidP="00BF5AFA">
      <w:pPr>
        <w:rPr>
          <w:sz w:val="28"/>
        </w:rPr>
      </w:pPr>
      <w:r>
        <w:rPr>
          <w:b/>
          <w:sz w:val="28"/>
        </w:rPr>
        <w:t>Chief</w:t>
      </w:r>
      <w:r w:rsidRPr="00A66326">
        <w:rPr>
          <w:b/>
          <w:sz w:val="28"/>
        </w:rPr>
        <w:t xml:space="preserve"> Officer:  </w:t>
      </w:r>
      <w:r w:rsidR="00955803">
        <w:rPr>
          <w:b/>
          <w:sz w:val="28"/>
        </w:rPr>
        <w:t>Dipti Patel</w:t>
      </w:r>
    </w:p>
    <w:p w14:paraId="6C086558" w14:textId="43A7D52C" w:rsidR="00BF5AFA" w:rsidRPr="00A66326" w:rsidRDefault="00BF5AFA" w:rsidP="00BF5AFA">
      <w:r w:rsidRPr="00A66326">
        <w:t xml:space="preserve">Signed </w:t>
      </w:r>
      <w:r>
        <w:t>off by the Corporate Director</w:t>
      </w:r>
      <w:r w:rsidR="00BF73E8">
        <w:t>,</w:t>
      </w:r>
      <w:bookmarkStart w:id="3" w:name="_GoBack"/>
      <w:bookmarkEnd w:id="3"/>
      <w:r w:rsidR="00955803">
        <w:t xml:space="preserve"> Community</w:t>
      </w:r>
    </w:p>
    <w:p w14:paraId="5F67CDF0" w14:textId="72EB5654" w:rsidR="00BF5AFA" w:rsidRPr="00A66326" w:rsidRDefault="00BF5AFA" w:rsidP="00BF5AFA">
      <w:pPr>
        <w:spacing w:after="480"/>
        <w:rPr>
          <w:sz w:val="28"/>
        </w:rPr>
      </w:pPr>
      <w:r w:rsidRPr="00A66326">
        <w:rPr>
          <w:b/>
          <w:sz w:val="28"/>
        </w:rPr>
        <w:t xml:space="preserve">Date:  </w:t>
      </w:r>
      <w:r w:rsidR="00955803">
        <w:rPr>
          <w:b/>
          <w:sz w:val="28"/>
        </w:rPr>
        <w:t>7</w:t>
      </w:r>
      <w:r w:rsidR="00955803" w:rsidRPr="00163AE6">
        <w:rPr>
          <w:b/>
          <w:sz w:val="28"/>
          <w:vertAlign w:val="superscript"/>
        </w:rPr>
        <w:t>th</w:t>
      </w:r>
      <w:r w:rsidR="00955803">
        <w:rPr>
          <w:b/>
          <w:sz w:val="28"/>
        </w:rPr>
        <w:t xml:space="preserve"> October 2021</w:t>
      </w:r>
    </w:p>
    <w:p w14:paraId="2C546334" w14:textId="020511DC" w:rsidR="00BF5AFA" w:rsidRDefault="00BF5AFA" w:rsidP="00BF5AFA">
      <w:pPr>
        <w:rPr>
          <w:b/>
          <w:sz w:val="28"/>
        </w:rPr>
      </w:pPr>
      <w:r>
        <w:rPr>
          <w:b/>
          <w:sz w:val="28"/>
        </w:rPr>
        <w:t>Head of Procurement</w:t>
      </w:r>
      <w:r w:rsidRPr="00A66326">
        <w:rPr>
          <w:b/>
          <w:sz w:val="28"/>
        </w:rPr>
        <w:t>:</w:t>
      </w:r>
      <w:r w:rsidR="00163AE6">
        <w:rPr>
          <w:b/>
          <w:sz w:val="28"/>
        </w:rPr>
        <w:t xml:space="preserve"> Nimesh Meh</w:t>
      </w:r>
      <w:r w:rsidR="00023449">
        <w:rPr>
          <w:b/>
          <w:sz w:val="28"/>
        </w:rPr>
        <w:t>t</w:t>
      </w:r>
      <w:r w:rsidR="00163AE6">
        <w:rPr>
          <w:b/>
          <w:sz w:val="28"/>
        </w:rPr>
        <w:t>a</w:t>
      </w:r>
      <w:r w:rsidRPr="00A66326">
        <w:rPr>
          <w:b/>
          <w:sz w:val="28"/>
        </w:rPr>
        <w:t xml:space="preserve">  </w:t>
      </w:r>
    </w:p>
    <w:p w14:paraId="178AD687" w14:textId="42C06B3C" w:rsidR="00F3062A" w:rsidRPr="00297385" w:rsidRDefault="00F3062A" w:rsidP="00BF5AFA">
      <w:pPr>
        <w:rPr>
          <w:bCs/>
          <w:szCs w:val="18"/>
        </w:rPr>
      </w:pPr>
      <w:r w:rsidRPr="00297385">
        <w:rPr>
          <w:bCs/>
          <w:szCs w:val="18"/>
        </w:rPr>
        <w:t xml:space="preserve">Signed off by the Head of Procurement </w:t>
      </w:r>
    </w:p>
    <w:p w14:paraId="5A683B65" w14:textId="008AD34B" w:rsidR="00BF5AFA" w:rsidRPr="003313EA" w:rsidRDefault="00BF5AFA" w:rsidP="00BF5AFA">
      <w:pPr>
        <w:spacing w:after="480"/>
        <w:rPr>
          <w:sz w:val="28"/>
        </w:rPr>
      </w:pPr>
      <w:r w:rsidRPr="00A66326">
        <w:rPr>
          <w:b/>
          <w:sz w:val="28"/>
        </w:rPr>
        <w:t xml:space="preserve">Date:  </w:t>
      </w:r>
      <w:r w:rsidR="00163AE6">
        <w:rPr>
          <w:b/>
          <w:sz w:val="28"/>
        </w:rPr>
        <w:t>7</w:t>
      </w:r>
      <w:r w:rsidR="00163AE6" w:rsidRPr="00163AE6">
        <w:rPr>
          <w:b/>
          <w:sz w:val="28"/>
          <w:vertAlign w:val="superscript"/>
        </w:rPr>
        <w:t>th</w:t>
      </w:r>
      <w:r w:rsidR="00163AE6">
        <w:rPr>
          <w:b/>
          <w:sz w:val="28"/>
        </w:rPr>
        <w:t xml:space="preserve"> October 2021</w:t>
      </w:r>
    </w:p>
    <w:p w14:paraId="113297A5" w14:textId="05D166BE" w:rsidR="00BF5AFA" w:rsidRPr="00A66326" w:rsidRDefault="00BF5AFA" w:rsidP="00BF5AFA">
      <w:pPr>
        <w:rPr>
          <w:sz w:val="28"/>
        </w:rPr>
      </w:pPr>
      <w:r>
        <w:rPr>
          <w:b/>
          <w:sz w:val="28"/>
        </w:rPr>
        <w:t>Head of Internal Audit</w:t>
      </w:r>
      <w:r w:rsidRPr="00A66326">
        <w:rPr>
          <w:b/>
          <w:sz w:val="28"/>
        </w:rPr>
        <w:t xml:space="preserve">:  </w:t>
      </w:r>
      <w:r w:rsidR="00CE47B1">
        <w:rPr>
          <w:b/>
          <w:sz w:val="28"/>
        </w:rPr>
        <w:t>Susan Dixson</w:t>
      </w:r>
    </w:p>
    <w:p w14:paraId="5CF04A24" w14:textId="1286D526" w:rsidR="00BF5AFA" w:rsidRPr="00A66326" w:rsidRDefault="00297385" w:rsidP="00BF5AFA">
      <w:r>
        <w:t xml:space="preserve">Signed off </w:t>
      </w:r>
      <w:r w:rsidR="00BF5AFA" w:rsidRPr="00A66326">
        <w:t xml:space="preserve">by the </w:t>
      </w:r>
      <w:r w:rsidR="00BF5AFA">
        <w:t>Head of Internal Audit</w:t>
      </w:r>
    </w:p>
    <w:p w14:paraId="065BF29C" w14:textId="528D8821" w:rsidR="00BF5AFA" w:rsidRPr="00D91D10" w:rsidRDefault="00BF5AFA" w:rsidP="00BF5AFA">
      <w:pPr>
        <w:pStyle w:val="Heading2"/>
        <w:spacing w:after="240"/>
        <w:rPr>
          <w:rFonts w:ascii="Arial" w:hAnsi="Arial" w:cs="Times New Roman"/>
          <w:bCs w:val="0"/>
          <w:sz w:val="28"/>
          <w:szCs w:val="20"/>
        </w:rPr>
      </w:pPr>
      <w:r w:rsidRPr="00D91D10">
        <w:rPr>
          <w:rFonts w:ascii="Arial" w:hAnsi="Arial" w:cs="Times New Roman"/>
          <w:bCs w:val="0"/>
          <w:sz w:val="28"/>
          <w:szCs w:val="20"/>
        </w:rPr>
        <w:t>Date:</w:t>
      </w:r>
      <w:r w:rsidR="00CE47B1">
        <w:rPr>
          <w:rFonts w:ascii="Arial" w:hAnsi="Arial" w:cs="Times New Roman"/>
          <w:bCs w:val="0"/>
          <w:sz w:val="28"/>
          <w:szCs w:val="20"/>
        </w:rPr>
        <w:t xml:space="preserve"> 8</w:t>
      </w:r>
      <w:r w:rsidR="00CE47B1" w:rsidRPr="00CE47B1">
        <w:rPr>
          <w:rFonts w:ascii="Arial" w:hAnsi="Arial" w:cs="Times New Roman"/>
          <w:bCs w:val="0"/>
          <w:sz w:val="28"/>
          <w:szCs w:val="20"/>
          <w:vertAlign w:val="superscript"/>
        </w:rPr>
        <w:t>th</w:t>
      </w:r>
      <w:r w:rsidR="00CE47B1">
        <w:rPr>
          <w:rFonts w:ascii="Arial" w:hAnsi="Arial" w:cs="Times New Roman"/>
          <w:bCs w:val="0"/>
          <w:sz w:val="28"/>
          <w:szCs w:val="20"/>
        </w:rPr>
        <w:t xml:space="preserve"> October 2021</w:t>
      </w:r>
    </w:p>
    <w:p w14:paraId="45A19EC7" w14:textId="59434FDF" w:rsidR="003313EA" w:rsidRPr="00435B5D" w:rsidRDefault="003313EA" w:rsidP="00BF5AFA">
      <w:pPr>
        <w:pStyle w:val="Heading2"/>
        <w:spacing w:before="480" w:after="240"/>
      </w:pPr>
      <w:r>
        <w:t>Mandatory Checks</w:t>
      </w:r>
    </w:p>
    <w:p w14:paraId="64551188" w14:textId="6DD2E239"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76C1952D" w14:textId="2A76B0C0" w:rsidR="00DB4876" w:rsidRDefault="003313EA" w:rsidP="00DB4876">
      <w:pPr>
        <w:autoSpaceDE w:val="0"/>
        <w:autoSpaceDN w:val="0"/>
        <w:adjustRightInd w:val="0"/>
        <w:rPr>
          <w:rFonts w:cs="Arial"/>
          <w:sz w:val="28"/>
          <w:szCs w:val="28"/>
          <w:lang w:eastAsia="en-GB"/>
        </w:rPr>
      </w:pPr>
      <w:r w:rsidRPr="00DB4876">
        <w:rPr>
          <w:rFonts w:cs="Arial"/>
          <w:b/>
          <w:bCs/>
          <w:sz w:val="28"/>
          <w:szCs w:val="28"/>
        </w:rPr>
        <w:t>EqIA carried out:</w:t>
      </w:r>
      <w:r w:rsidR="00DB4876" w:rsidRPr="00DB4876">
        <w:rPr>
          <w:rFonts w:cs="Arial"/>
          <w:b/>
          <w:bCs/>
          <w:sz w:val="28"/>
          <w:szCs w:val="28"/>
        </w:rPr>
        <w:t xml:space="preserve"> YES</w:t>
      </w:r>
      <w:r w:rsidR="00DB4876">
        <w:t xml:space="preserve"> -</w:t>
      </w:r>
      <w:r w:rsidR="00DB4876" w:rsidRPr="00DB4876">
        <w:rPr>
          <w:rFonts w:cs="Arial"/>
          <w:sz w:val="28"/>
          <w:szCs w:val="28"/>
          <w:lang w:eastAsia="en-GB"/>
        </w:rPr>
        <w:t xml:space="preserve"> </w:t>
      </w:r>
      <w:r w:rsidR="00DB4876">
        <w:rPr>
          <w:rFonts w:cs="Arial"/>
          <w:sz w:val="28"/>
          <w:szCs w:val="28"/>
          <w:lang w:eastAsia="en-GB"/>
        </w:rPr>
        <w:t>An overarching</w:t>
      </w:r>
    </w:p>
    <w:p w14:paraId="2F531120" w14:textId="2DB4BBD8" w:rsidR="00DB4876" w:rsidRPr="00202D79" w:rsidRDefault="00DB4876" w:rsidP="00297385">
      <w:pPr>
        <w:autoSpaceDE w:val="0"/>
        <w:autoSpaceDN w:val="0"/>
        <w:adjustRightInd w:val="0"/>
      </w:pPr>
      <w:r>
        <w:rPr>
          <w:rFonts w:cs="Arial"/>
          <w:sz w:val="28"/>
          <w:szCs w:val="28"/>
          <w:lang w:eastAsia="en-GB"/>
        </w:rPr>
        <w:t>EQIA was undertaken for the programme</w:t>
      </w:r>
      <w:r>
        <w:t xml:space="preserve"> </w:t>
      </w:r>
      <w:r w:rsidRPr="00E55D55">
        <w:rPr>
          <w:rFonts w:cs="Arial"/>
          <w:sz w:val="28"/>
          <w:szCs w:val="28"/>
          <w:lang w:eastAsia="en-GB"/>
        </w:rPr>
        <w:t>Directorate Equality Task Group</w:t>
      </w:r>
      <w:r>
        <w:rPr>
          <w:rFonts w:cs="Arial"/>
          <w:sz w:val="28"/>
          <w:szCs w:val="28"/>
          <w:lang w:eastAsia="en-GB"/>
        </w:rPr>
        <w:t>.</w:t>
      </w:r>
    </w:p>
    <w:p w14:paraId="4DBA595E" w14:textId="77777777" w:rsidR="00DB4876" w:rsidRPr="00202D79" w:rsidRDefault="003313EA" w:rsidP="00DB4876">
      <w:pPr>
        <w:pStyle w:val="Infotext"/>
      </w:pPr>
      <w:r w:rsidRPr="00DB4876">
        <w:rPr>
          <w:b/>
          <w:bCs/>
        </w:rPr>
        <w:t>EqIA cleared by</w:t>
      </w:r>
      <w:r w:rsidRPr="00202D79">
        <w:t>:</w:t>
      </w:r>
      <w:r>
        <w:t xml:space="preserve"> </w:t>
      </w:r>
      <w:r w:rsidR="00DB4876">
        <w:rPr>
          <w:rFonts w:cs="Arial"/>
          <w:b/>
          <w:bCs/>
          <w:szCs w:val="28"/>
          <w:lang w:eastAsia="en-GB"/>
        </w:rPr>
        <w:t>(DETG) Chair</w:t>
      </w:r>
      <w:r w:rsidR="00DB4876">
        <w:t xml:space="preserve"> </w:t>
      </w:r>
    </w:p>
    <w:p w14:paraId="6B589F3A" w14:textId="01034F55" w:rsidR="003313EA" w:rsidRPr="00303FD6" w:rsidRDefault="003313EA" w:rsidP="00842757">
      <w:pPr>
        <w:pStyle w:val="Heading3"/>
        <w:spacing w:before="240"/>
        <w:jc w:val="left"/>
        <w:rPr>
          <w:color w:val="FF0000"/>
        </w:rPr>
      </w:pPr>
      <w:r>
        <w:t xml:space="preserve"> </w:t>
      </w:r>
    </w:p>
    <w:p w14:paraId="41E16C55" w14:textId="5573D73E" w:rsidR="00333FAA" w:rsidRDefault="00333FAA" w:rsidP="00842757">
      <w:pPr>
        <w:pStyle w:val="Heading2"/>
        <w:spacing w:before="480" w:after="240"/>
      </w:pPr>
      <w:r>
        <w:lastRenderedPageBreak/>
        <w:t xml:space="preserve">Section </w:t>
      </w:r>
      <w:r w:rsidR="00A20113">
        <w:t>4</w:t>
      </w:r>
      <w:r>
        <w:t xml:space="preserve"> - </w:t>
      </w:r>
      <w:r w:rsidRPr="00DB4876">
        <w:rPr>
          <w:rFonts w:ascii="Arial" w:hAnsi="Arial"/>
          <w:sz w:val="28"/>
          <w:szCs w:val="28"/>
        </w:rPr>
        <w:t>Contact</w:t>
      </w:r>
      <w:r>
        <w:t xml:space="preserve"> Details and Background</w:t>
      </w:r>
      <w:r w:rsidR="00834CD3">
        <w:t xml:space="preserve"> </w:t>
      </w:r>
      <w:r>
        <w:t>Papers</w:t>
      </w:r>
    </w:p>
    <w:p w14:paraId="0005C0E4" w14:textId="33D7B746" w:rsidR="00333FAA" w:rsidRPr="008E6101" w:rsidRDefault="00333FAA" w:rsidP="00CC18AC">
      <w:pPr>
        <w:pStyle w:val="Infotext"/>
        <w:spacing w:after="240"/>
      </w:pPr>
      <w:r w:rsidRPr="004E47FC">
        <w:rPr>
          <w:b/>
        </w:rPr>
        <w:t xml:space="preserve">Contact:  </w:t>
      </w:r>
      <w:r w:rsidR="00946864" w:rsidRPr="007D5947">
        <w:rPr>
          <w:bCs/>
        </w:rPr>
        <w:t>Mark Crodden</w:t>
      </w:r>
      <w:r w:rsidR="005808FB" w:rsidRPr="0087531B">
        <w:t xml:space="preserve">, </w:t>
      </w:r>
      <w:r w:rsidR="00A63319" w:rsidRPr="0087531B">
        <w:t xml:space="preserve">Project Manager Housing </w:t>
      </w:r>
      <w:r w:rsidR="00151BEB">
        <w:t>A</w:t>
      </w:r>
      <w:r w:rsidR="00A63319" w:rsidRPr="0087531B">
        <w:t>sset Management</w:t>
      </w:r>
      <w:r w:rsidR="005808FB" w:rsidRPr="005808FB">
        <w:rPr>
          <w:color w:val="FF0000"/>
        </w:rPr>
        <w:t xml:space="preserve">, </w:t>
      </w:r>
      <w:r w:rsidR="00B54AFA" w:rsidRPr="00E6603F">
        <w:t xml:space="preserve">Direct </w:t>
      </w:r>
      <w:r w:rsidR="005808FB" w:rsidRPr="00E6603F">
        <w:t>Tel</w:t>
      </w:r>
      <w:r w:rsidR="00B54AFA" w:rsidRPr="00E6603F">
        <w:t>ephone No.</w:t>
      </w:r>
      <w:r w:rsidR="00E6603F" w:rsidRPr="00E6603F">
        <w:rPr>
          <w:rFonts w:cs="Arial"/>
          <w:sz w:val="20"/>
        </w:rPr>
        <w:t xml:space="preserve"> </w:t>
      </w:r>
      <w:r w:rsidR="00E6603F" w:rsidRPr="00E6603F">
        <w:t>07714 182057</w:t>
      </w:r>
      <w:r w:rsidR="005808FB" w:rsidRPr="00E6603F">
        <w:t xml:space="preserve"> </w:t>
      </w:r>
      <w:r w:rsidR="005808FB" w:rsidRPr="008E6101">
        <w:t>and Email</w:t>
      </w:r>
      <w:r w:rsidR="0087531B" w:rsidRPr="008E6101">
        <w:t xml:space="preserve"> </w:t>
      </w:r>
      <w:hyperlink r:id="rId13" w:history="1">
        <w:r w:rsidR="008E6101" w:rsidRPr="00A91DB9">
          <w:rPr>
            <w:rStyle w:val="Hyperlink"/>
          </w:rPr>
          <w:t>mark.crodden@harrow.gov.uk</w:t>
        </w:r>
      </w:hyperlink>
      <w:r w:rsidR="008E6101">
        <w:t xml:space="preserve"> </w:t>
      </w:r>
    </w:p>
    <w:p w14:paraId="77C58D4B" w14:textId="4B5EE974" w:rsidR="00333FAA" w:rsidRDefault="00333FAA" w:rsidP="00CC18AC">
      <w:pPr>
        <w:pStyle w:val="Infotext"/>
        <w:spacing w:after="240"/>
        <w:rPr>
          <w:b/>
        </w:rPr>
      </w:pPr>
      <w:r w:rsidRPr="004E47FC">
        <w:rPr>
          <w:b/>
        </w:rPr>
        <w:t xml:space="preserve">Background Papers: </w:t>
      </w:r>
      <w:r w:rsidR="005808FB">
        <w:rPr>
          <w:b/>
        </w:rPr>
        <w:t xml:space="preserve"> </w:t>
      </w:r>
      <w:r w:rsidR="00DB4876" w:rsidRPr="00DB4876">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704D7526" w:rsidR="000D4E36" w:rsidRPr="00ED6776" w:rsidRDefault="00842757" w:rsidP="00297385">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2751" w14:textId="77777777" w:rsidR="00543B84" w:rsidRDefault="00543B84">
      <w:r>
        <w:separator/>
      </w:r>
    </w:p>
  </w:endnote>
  <w:endnote w:type="continuationSeparator" w:id="0">
    <w:p w14:paraId="300AFD80" w14:textId="77777777" w:rsidR="00543B84" w:rsidRDefault="00543B84">
      <w:r>
        <w:continuationSeparator/>
      </w:r>
    </w:p>
  </w:endnote>
  <w:endnote w:type="continuationNotice" w:id="1">
    <w:p w14:paraId="4DAFDB4A" w14:textId="77777777" w:rsidR="00543B84" w:rsidRDefault="0054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FB44E6" w:rsidRPr="004F56C5" w:rsidRDefault="00FB44E6"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0670" w14:textId="77777777" w:rsidR="00543B84" w:rsidRDefault="00543B84">
      <w:r>
        <w:separator/>
      </w:r>
    </w:p>
  </w:footnote>
  <w:footnote w:type="continuationSeparator" w:id="0">
    <w:p w14:paraId="6050E69A" w14:textId="77777777" w:rsidR="00543B84" w:rsidRDefault="00543B84">
      <w:r>
        <w:continuationSeparator/>
      </w:r>
    </w:p>
  </w:footnote>
  <w:footnote w:type="continuationNotice" w:id="1">
    <w:p w14:paraId="43C09143" w14:textId="77777777" w:rsidR="00543B84" w:rsidRDefault="0054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FB44E6" w:rsidRDefault="00FB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FB44E6" w:rsidRDefault="00FB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C93"/>
    <w:multiLevelType w:val="hybridMultilevel"/>
    <w:tmpl w:val="E038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2B0D"/>
    <w:multiLevelType w:val="hybridMultilevel"/>
    <w:tmpl w:val="43F67F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487613D"/>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068BA"/>
    <w:multiLevelType w:val="multilevel"/>
    <w:tmpl w:val="DB0615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571B20"/>
    <w:multiLevelType w:val="hybridMultilevel"/>
    <w:tmpl w:val="4FBC5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A5E8E"/>
    <w:multiLevelType w:val="multilevel"/>
    <w:tmpl w:val="53066C54"/>
    <w:lvl w:ilvl="0">
      <w:start w:val="2"/>
      <w:numFmt w:val="decimal"/>
      <w:lvlText w:val="%1"/>
      <w:lvlJc w:val="left"/>
      <w:pPr>
        <w:ind w:left="675" w:hanging="675"/>
      </w:pPr>
      <w:rPr>
        <w:rFonts w:hint="default"/>
      </w:rPr>
    </w:lvl>
    <w:lvl w:ilvl="1">
      <w:start w:val="11"/>
      <w:numFmt w:val="decimal"/>
      <w:lvlText w:val="%1.%2"/>
      <w:lvlJc w:val="left"/>
      <w:pPr>
        <w:ind w:left="675" w:hanging="67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2F42"/>
    <w:multiLevelType w:val="hybridMultilevel"/>
    <w:tmpl w:val="603E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A39AA"/>
    <w:multiLevelType w:val="hybridMultilevel"/>
    <w:tmpl w:val="F8E63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9C72EF"/>
    <w:multiLevelType w:val="multilevel"/>
    <w:tmpl w:val="1786C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670CF"/>
    <w:multiLevelType w:val="hybridMultilevel"/>
    <w:tmpl w:val="69F8C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C75F5"/>
    <w:multiLevelType w:val="multilevel"/>
    <w:tmpl w:val="FC38B4C2"/>
    <w:lvl w:ilvl="0">
      <w:start w:val="2"/>
      <w:numFmt w:val="decimal"/>
      <w:lvlText w:val="%1"/>
      <w:lvlJc w:val="left"/>
      <w:pPr>
        <w:ind w:left="675" w:hanging="675"/>
      </w:pPr>
      <w:rPr>
        <w:rFonts w:hint="default"/>
      </w:rPr>
    </w:lvl>
    <w:lvl w:ilvl="1">
      <w:start w:val="11"/>
      <w:numFmt w:val="decimal"/>
      <w:lvlText w:val="%1.%2"/>
      <w:lvlJc w:val="left"/>
      <w:pPr>
        <w:ind w:left="855" w:hanging="67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0A7BE7"/>
    <w:multiLevelType w:val="hybridMultilevel"/>
    <w:tmpl w:val="D3421D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6712E"/>
    <w:multiLevelType w:val="multilevel"/>
    <w:tmpl w:val="9A0EA06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46033D"/>
    <w:multiLevelType w:val="hybridMultilevel"/>
    <w:tmpl w:val="F8162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472F72"/>
    <w:multiLevelType w:val="multilevel"/>
    <w:tmpl w:val="DB7CC0F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B0E2A"/>
    <w:multiLevelType w:val="hybridMultilevel"/>
    <w:tmpl w:val="1D6AD83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15:restartNumberingAfterBreak="0">
    <w:nsid w:val="68AC6D31"/>
    <w:multiLevelType w:val="hybridMultilevel"/>
    <w:tmpl w:val="8102C9B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73F43B71"/>
    <w:multiLevelType w:val="hybridMultilevel"/>
    <w:tmpl w:val="1F9A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9"/>
  </w:num>
  <w:num w:numId="4">
    <w:abstractNumId w:val="17"/>
  </w:num>
  <w:num w:numId="5">
    <w:abstractNumId w:val="7"/>
  </w:num>
  <w:num w:numId="6">
    <w:abstractNumId w:val="15"/>
  </w:num>
  <w:num w:numId="7">
    <w:abstractNumId w:val="2"/>
  </w:num>
  <w:num w:numId="8">
    <w:abstractNumId w:val="16"/>
  </w:num>
  <w:num w:numId="9">
    <w:abstractNumId w:val="4"/>
  </w:num>
  <w:num w:numId="10">
    <w:abstractNumId w:val="8"/>
  </w:num>
  <w:num w:numId="11">
    <w:abstractNumId w:val="19"/>
  </w:num>
  <w:num w:numId="12">
    <w:abstractNumId w:val="21"/>
  </w:num>
  <w:num w:numId="13">
    <w:abstractNumId w:val="23"/>
  </w:num>
  <w:num w:numId="14">
    <w:abstractNumId w:val="20"/>
  </w:num>
  <w:num w:numId="15">
    <w:abstractNumId w:val="6"/>
  </w:num>
  <w:num w:numId="16">
    <w:abstractNumId w:val="0"/>
  </w:num>
  <w:num w:numId="17">
    <w:abstractNumId w:val="10"/>
  </w:num>
  <w:num w:numId="18">
    <w:abstractNumId w:val="3"/>
  </w:num>
  <w:num w:numId="19">
    <w:abstractNumId w:val="13"/>
  </w:num>
  <w:num w:numId="20">
    <w:abstractNumId w:val="5"/>
  </w:num>
  <w:num w:numId="21">
    <w:abstractNumId w:val="22"/>
  </w:num>
  <w:num w:numId="22">
    <w:abstractNumId w:val="12"/>
  </w:num>
  <w:num w:numId="23">
    <w:abstractNumId w:val="1"/>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75C"/>
    <w:rsid w:val="0000089B"/>
    <w:rsid w:val="00002AAD"/>
    <w:rsid w:val="00002D66"/>
    <w:rsid w:val="00003C81"/>
    <w:rsid w:val="00005DE1"/>
    <w:rsid w:val="00006EA5"/>
    <w:rsid w:val="00007419"/>
    <w:rsid w:val="00010D86"/>
    <w:rsid w:val="00012883"/>
    <w:rsid w:val="00012E57"/>
    <w:rsid w:val="0001326A"/>
    <w:rsid w:val="000136F3"/>
    <w:rsid w:val="00014CBE"/>
    <w:rsid w:val="00016DA6"/>
    <w:rsid w:val="00017C9C"/>
    <w:rsid w:val="000204D5"/>
    <w:rsid w:val="0002155B"/>
    <w:rsid w:val="00021BB3"/>
    <w:rsid w:val="000228A2"/>
    <w:rsid w:val="000231A2"/>
    <w:rsid w:val="00023449"/>
    <w:rsid w:val="00025DE0"/>
    <w:rsid w:val="000301FE"/>
    <w:rsid w:val="00031F08"/>
    <w:rsid w:val="00032AA3"/>
    <w:rsid w:val="00033693"/>
    <w:rsid w:val="00033C4F"/>
    <w:rsid w:val="000350DF"/>
    <w:rsid w:val="000351A2"/>
    <w:rsid w:val="00035527"/>
    <w:rsid w:val="00035695"/>
    <w:rsid w:val="000377AA"/>
    <w:rsid w:val="0004029A"/>
    <w:rsid w:val="000412E3"/>
    <w:rsid w:val="000415E5"/>
    <w:rsid w:val="000415FE"/>
    <w:rsid w:val="00043F40"/>
    <w:rsid w:val="00044A23"/>
    <w:rsid w:val="00044DD7"/>
    <w:rsid w:val="00046CAE"/>
    <w:rsid w:val="000474E3"/>
    <w:rsid w:val="0004786E"/>
    <w:rsid w:val="00050544"/>
    <w:rsid w:val="0005203C"/>
    <w:rsid w:val="00052C6B"/>
    <w:rsid w:val="00052F61"/>
    <w:rsid w:val="000531E7"/>
    <w:rsid w:val="000531F4"/>
    <w:rsid w:val="0005392D"/>
    <w:rsid w:val="00053B8B"/>
    <w:rsid w:val="000540B2"/>
    <w:rsid w:val="00055BCF"/>
    <w:rsid w:val="000561BE"/>
    <w:rsid w:val="00056646"/>
    <w:rsid w:val="00057CF2"/>
    <w:rsid w:val="0006034E"/>
    <w:rsid w:val="00060668"/>
    <w:rsid w:val="0006220C"/>
    <w:rsid w:val="0006323E"/>
    <w:rsid w:val="00063783"/>
    <w:rsid w:val="00067297"/>
    <w:rsid w:val="00067C5A"/>
    <w:rsid w:val="000706AB"/>
    <w:rsid w:val="00073765"/>
    <w:rsid w:val="00073B05"/>
    <w:rsid w:val="00074FA1"/>
    <w:rsid w:val="0007743A"/>
    <w:rsid w:val="00080019"/>
    <w:rsid w:val="000816C1"/>
    <w:rsid w:val="00081F19"/>
    <w:rsid w:val="000823B8"/>
    <w:rsid w:val="00082CEC"/>
    <w:rsid w:val="000830A6"/>
    <w:rsid w:val="00084A03"/>
    <w:rsid w:val="00090484"/>
    <w:rsid w:val="00090F04"/>
    <w:rsid w:val="00091AA6"/>
    <w:rsid w:val="000929A6"/>
    <w:rsid w:val="000929B1"/>
    <w:rsid w:val="00092F65"/>
    <w:rsid w:val="00094E10"/>
    <w:rsid w:val="000951D8"/>
    <w:rsid w:val="00095A3B"/>
    <w:rsid w:val="00095D42"/>
    <w:rsid w:val="00095FA1"/>
    <w:rsid w:val="00096728"/>
    <w:rsid w:val="00096B8F"/>
    <w:rsid w:val="000A0B05"/>
    <w:rsid w:val="000A1EA8"/>
    <w:rsid w:val="000A2070"/>
    <w:rsid w:val="000A24CF"/>
    <w:rsid w:val="000A25DD"/>
    <w:rsid w:val="000A3B65"/>
    <w:rsid w:val="000A3BCB"/>
    <w:rsid w:val="000A48F4"/>
    <w:rsid w:val="000B2E62"/>
    <w:rsid w:val="000B30CE"/>
    <w:rsid w:val="000B4E32"/>
    <w:rsid w:val="000B5015"/>
    <w:rsid w:val="000B543F"/>
    <w:rsid w:val="000B788F"/>
    <w:rsid w:val="000B7C66"/>
    <w:rsid w:val="000C0C49"/>
    <w:rsid w:val="000C0E22"/>
    <w:rsid w:val="000C3953"/>
    <w:rsid w:val="000C53B2"/>
    <w:rsid w:val="000C5924"/>
    <w:rsid w:val="000C5A68"/>
    <w:rsid w:val="000C5DB7"/>
    <w:rsid w:val="000D0D35"/>
    <w:rsid w:val="000D1157"/>
    <w:rsid w:val="000D1BF1"/>
    <w:rsid w:val="000D22D3"/>
    <w:rsid w:val="000D242B"/>
    <w:rsid w:val="000D26E4"/>
    <w:rsid w:val="000D3DDD"/>
    <w:rsid w:val="000D4E36"/>
    <w:rsid w:val="000D57F1"/>
    <w:rsid w:val="000E1318"/>
    <w:rsid w:val="000E2C2D"/>
    <w:rsid w:val="000E33B8"/>
    <w:rsid w:val="000E62FE"/>
    <w:rsid w:val="000E7101"/>
    <w:rsid w:val="000E7DA4"/>
    <w:rsid w:val="000E7ECB"/>
    <w:rsid w:val="000F3200"/>
    <w:rsid w:val="000F3783"/>
    <w:rsid w:val="000F387C"/>
    <w:rsid w:val="000F50E8"/>
    <w:rsid w:val="000F6921"/>
    <w:rsid w:val="000F737E"/>
    <w:rsid w:val="000F761E"/>
    <w:rsid w:val="00101113"/>
    <w:rsid w:val="00101514"/>
    <w:rsid w:val="00102354"/>
    <w:rsid w:val="0010320A"/>
    <w:rsid w:val="00103FD6"/>
    <w:rsid w:val="001052C9"/>
    <w:rsid w:val="00105B8A"/>
    <w:rsid w:val="00105FAA"/>
    <w:rsid w:val="001112F7"/>
    <w:rsid w:val="00113D7E"/>
    <w:rsid w:val="00115B96"/>
    <w:rsid w:val="001161E4"/>
    <w:rsid w:val="00117405"/>
    <w:rsid w:val="001175C7"/>
    <w:rsid w:val="00117C5B"/>
    <w:rsid w:val="00120B0D"/>
    <w:rsid w:val="001212E3"/>
    <w:rsid w:val="00122A05"/>
    <w:rsid w:val="00123645"/>
    <w:rsid w:val="00124612"/>
    <w:rsid w:val="00124A37"/>
    <w:rsid w:val="00125A26"/>
    <w:rsid w:val="0012707C"/>
    <w:rsid w:val="00127C42"/>
    <w:rsid w:val="00135018"/>
    <w:rsid w:val="001358CF"/>
    <w:rsid w:val="00135B1A"/>
    <w:rsid w:val="00135D5E"/>
    <w:rsid w:val="00136A2B"/>
    <w:rsid w:val="00137FE3"/>
    <w:rsid w:val="001406BB"/>
    <w:rsid w:val="00141D1C"/>
    <w:rsid w:val="00142122"/>
    <w:rsid w:val="00142917"/>
    <w:rsid w:val="0014332D"/>
    <w:rsid w:val="00146257"/>
    <w:rsid w:val="001465A7"/>
    <w:rsid w:val="00146EC8"/>
    <w:rsid w:val="001472A8"/>
    <w:rsid w:val="0015113C"/>
    <w:rsid w:val="001518B4"/>
    <w:rsid w:val="00151BEB"/>
    <w:rsid w:val="0015245A"/>
    <w:rsid w:val="001530F6"/>
    <w:rsid w:val="0015376F"/>
    <w:rsid w:val="00154800"/>
    <w:rsid w:val="00155722"/>
    <w:rsid w:val="00156205"/>
    <w:rsid w:val="001564C2"/>
    <w:rsid w:val="00156944"/>
    <w:rsid w:val="00156B77"/>
    <w:rsid w:val="0015760A"/>
    <w:rsid w:val="001614E0"/>
    <w:rsid w:val="00162817"/>
    <w:rsid w:val="00163AE6"/>
    <w:rsid w:val="00163B6E"/>
    <w:rsid w:val="00165ABB"/>
    <w:rsid w:val="0016724E"/>
    <w:rsid w:val="001700E3"/>
    <w:rsid w:val="001708AA"/>
    <w:rsid w:val="00171BD8"/>
    <w:rsid w:val="00171DD4"/>
    <w:rsid w:val="00174BC6"/>
    <w:rsid w:val="00175713"/>
    <w:rsid w:val="0017653E"/>
    <w:rsid w:val="001774BF"/>
    <w:rsid w:val="001775A4"/>
    <w:rsid w:val="00177AC7"/>
    <w:rsid w:val="00182B01"/>
    <w:rsid w:val="001840CC"/>
    <w:rsid w:val="001840D2"/>
    <w:rsid w:val="001873B6"/>
    <w:rsid w:val="00191FF9"/>
    <w:rsid w:val="00192384"/>
    <w:rsid w:val="00194CCD"/>
    <w:rsid w:val="00195960"/>
    <w:rsid w:val="00196033"/>
    <w:rsid w:val="001966D7"/>
    <w:rsid w:val="00196C18"/>
    <w:rsid w:val="00196C49"/>
    <w:rsid w:val="001A3E40"/>
    <w:rsid w:val="001A4245"/>
    <w:rsid w:val="001A4814"/>
    <w:rsid w:val="001A4CF2"/>
    <w:rsid w:val="001A4F7C"/>
    <w:rsid w:val="001A5308"/>
    <w:rsid w:val="001A69EF"/>
    <w:rsid w:val="001A6A4B"/>
    <w:rsid w:val="001B138B"/>
    <w:rsid w:val="001B195A"/>
    <w:rsid w:val="001B1C13"/>
    <w:rsid w:val="001B244B"/>
    <w:rsid w:val="001B27B7"/>
    <w:rsid w:val="001B2D70"/>
    <w:rsid w:val="001B4765"/>
    <w:rsid w:val="001B4C5B"/>
    <w:rsid w:val="001B5428"/>
    <w:rsid w:val="001B7623"/>
    <w:rsid w:val="001C2524"/>
    <w:rsid w:val="001C2BAD"/>
    <w:rsid w:val="001C3BAD"/>
    <w:rsid w:val="001C498F"/>
    <w:rsid w:val="001C4D2E"/>
    <w:rsid w:val="001C4F48"/>
    <w:rsid w:val="001C5B75"/>
    <w:rsid w:val="001C7E35"/>
    <w:rsid w:val="001D073E"/>
    <w:rsid w:val="001D1661"/>
    <w:rsid w:val="001D251A"/>
    <w:rsid w:val="001D3655"/>
    <w:rsid w:val="001D3815"/>
    <w:rsid w:val="001D3AAB"/>
    <w:rsid w:val="001D3CC7"/>
    <w:rsid w:val="001D62E8"/>
    <w:rsid w:val="001D67A3"/>
    <w:rsid w:val="001E1AB5"/>
    <w:rsid w:val="001E256B"/>
    <w:rsid w:val="001E265A"/>
    <w:rsid w:val="001E3647"/>
    <w:rsid w:val="001E3C06"/>
    <w:rsid w:val="001E3CB0"/>
    <w:rsid w:val="001E5374"/>
    <w:rsid w:val="001E6D6F"/>
    <w:rsid w:val="001E7EFD"/>
    <w:rsid w:val="001E7F96"/>
    <w:rsid w:val="001F0037"/>
    <w:rsid w:val="001F0740"/>
    <w:rsid w:val="001F0BE9"/>
    <w:rsid w:val="001F126B"/>
    <w:rsid w:val="001F2020"/>
    <w:rsid w:val="001F5F58"/>
    <w:rsid w:val="001F6E50"/>
    <w:rsid w:val="001F7525"/>
    <w:rsid w:val="001F7C41"/>
    <w:rsid w:val="00200AA2"/>
    <w:rsid w:val="00202D79"/>
    <w:rsid w:val="00205228"/>
    <w:rsid w:val="00205D2F"/>
    <w:rsid w:val="002076B8"/>
    <w:rsid w:val="00207F5F"/>
    <w:rsid w:val="00210E2C"/>
    <w:rsid w:val="00212115"/>
    <w:rsid w:val="002121B7"/>
    <w:rsid w:val="00212B98"/>
    <w:rsid w:val="00212CEE"/>
    <w:rsid w:val="00215E8F"/>
    <w:rsid w:val="002164B6"/>
    <w:rsid w:val="00216684"/>
    <w:rsid w:val="002174BA"/>
    <w:rsid w:val="00220698"/>
    <w:rsid w:val="00220E18"/>
    <w:rsid w:val="00220F76"/>
    <w:rsid w:val="00221A93"/>
    <w:rsid w:val="00222536"/>
    <w:rsid w:val="00223C63"/>
    <w:rsid w:val="00223E75"/>
    <w:rsid w:val="00223FF5"/>
    <w:rsid w:val="00224F11"/>
    <w:rsid w:val="002302D7"/>
    <w:rsid w:val="00230DBE"/>
    <w:rsid w:val="002314F5"/>
    <w:rsid w:val="002322BB"/>
    <w:rsid w:val="002327FA"/>
    <w:rsid w:val="00232A2F"/>
    <w:rsid w:val="002330F7"/>
    <w:rsid w:val="00234142"/>
    <w:rsid w:val="00234491"/>
    <w:rsid w:val="00234FEB"/>
    <w:rsid w:val="0023591C"/>
    <w:rsid w:val="002359D4"/>
    <w:rsid w:val="00235F40"/>
    <w:rsid w:val="002369D7"/>
    <w:rsid w:val="0023747F"/>
    <w:rsid w:val="002421EC"/>
    <w:rsid w:val="002426E6"/>
    <w:rsid w:val="00243030"/>
    <w:rsid w:val="00251254"/>
    <w:rsid w:val="002521AA"/>
    <w:rsid w:val="00252AA0"/>
    <w:rsid w:val="00253FF7"/>
    <w:rsid w:val="00254001"/>
    <w:rsid w:val="002540B0"/>
    <w:rsid w:val="002548D1"/>
    <w:rsid w:val="0025583F"/>
    <w:rsid w:val="002559C2"/>
    <w:rsid w:val="00255BF1"/>
    <w:rsid w:val="00256266"/>
    <w:rsid w:val="00262CD3"/>
    <w:rsid w:val="002635FB"/>
    <w:rsid w:val="00263D6E"/>
    <w:rsid w:val="0026441A"/>
    <w:rsid w:val="00264A0D"/>
    <w:rsid w:val="00264E02"/>
    <w:rsid w:val="00265451"/>
    <w:rsid w:val="00265E43"/>
    <w:rsid w:val="00266D52"/>
    <w:rsid w:val="00270063"/>
    <w:rsid w:val="00272725"/>
    <w:rsid w:val="0027283B"/>
    <w:rsid w:val="00275222"/>
    <w:rsid w:val="002770C4"/>
    <w:rsid w:val="0028019B"/>
    <w:rsid w:val="00282157"/>
    <w:rsid w:val="00282E73"/>
    <w:rsid w:val="00283C5D"/>
    <w:rsid w:val="00283CAB"/>
    <w:rsid w:val="00284A22"/>
    <w:rsid w:val="00284BF2"/>
    <w:rsid w:val="00284CED"/>
    <w:rsid w:val="00284E3B"/>
    <w:rsid w:val="00285059"/>
    <w:rsid w:val="0028525A"/>
    <w:rsid w:val="00285A95"/>
    <w:rsid w:val="00285B1E"/>
    <w:rsid w:val="00286306"/>
    <w:rsid w:val="00286662"/>
    <w:rsid w:val="00287D92"/>
    <w:rsid w:val="0029271D"/>
    <w:rsid w:val="002930CC"/>
    <w:rsid w:val="0029343F"/>
    <w:rsid w:val="0029496B"/>
    <w:rsid w:val="00295800"/>
    <w:rsid w:val="002961A0"/>
    <w:rsid w:val="00296B9E"/>
    <w:rsid w:val="00296FF0"/>
    <w:rsid w:val="00297385"/>
    <w:rsid w:val="0029746B"/>
    <w:rsid w:val="002A0A08"/>
    <w:rsid w:val="002A2C5E"/>
    <w:rsid w:val="002A2E4C"/>
    <w:rsid w:val="002A3FEF"/>
    <w:rsid w:val="002A4B21"/>
    <w:rsid w:val="002A6AE3"/>
    <w:rsid w:val="002B0A78"/>
    <w:rsid w:val="002B37C8"/>
    <w:rsid w:val="002B54A6"/>
    <w:rsid w:val="002B724C"/>
    <w:rsid w:val="002B7B94"/>
    <w:rsid w:val="002C0C3D"/>
    <w:rsid w:val="002C24A5"/>
    <w:rsid w:val="002C44BF"/>
    <w:rsid w:val="002C77DC"/>
    <w:rsid w:val="002D1851"/>
    <w:rsid w:val="002D3C12"/>
    <w:rsid w:val="002D4A1D"/>
    <w:rsid w:val="002D5594"/>
    <w:rsid w:val="002D6031"/>
    <w:rsid w:val="002D7B5D"/>
    <w:rsid w:val="002E121B"/>
    <w:rsid w:val="002E184C"/>
    <w:rsid w:val="002E2FE6"/>
    <w:rsid w:val="002E3A13"/>
    <w:rsid w:val="002E761A"/>
    <w:rsid w:val="002E7CD5"/>
    <w:rsid w:val="002F117B"/>
    <w:rsid w:val="002F14B3"/>
    <w:rsid w:val="002F3EE9"/>
    <w:rsid w:val="002F523D"/>
    <w:rsid w:val="002F5347"/>
    <w:rsid w:val="00301F9E"/>
    <w:rsid w:val="00302D53"/>
    <w:rsid w:val="0030381E"/>
    <w:rsid w:val="00303C3D"/>
    <w:rsid w:val="00307F76"/>
    <w:rsid w:val="003100B0"/>
    <w:rsid w:val="0031102D"/>
    <w:rsid w:val="003116D4"/>
    <w:rsid w:val="00312687"/>
    <w:rsid w:val="00313A81"/>
    <w:rsid w:val="00314876"/>
    <w:rsid w:val="00314F65"/>
    <w:rsid w:val="0031745F"/>
    <w:rsid w:val="00317D05"/>
    <w:rsid w:val="0032015C"/>
    <w:rsid w:val="00321A55"/>
    <w:rsid w:val="00321FBB"/>
    <w:rsid w:val="003239CF"/>
    <w:rsid w:val="00323A50"/>
    <w:rsid w:val="00324C8E"/>
    <w:rsid w:val="00324D4E"/>
    <w:rsid w:val="00325FB5"/>
    <w:rsid w:val="0032649E"/>
    <w:rsid w:val="00330832"/>
    <w:rsid w:val="00330987"/>
    <w:rsid w:val="003313EA"/>
    <w:rsid w:val="003314DF"/>
    <w:rsid w:val="00333FAA"/>
    <w:rsid w:val="003343A3"/>
    <w:rsid w:val="00334AB8"/>
    <w:rsid w:val="003355D7"/>
    <w:rsid w:val="00336011"/>
    <w:rsid w:val="00340E96"/>
    <w:rsid w:val="00341B99"/>
    <w:rsid w:val="00342212"/>
    <w:rsid w:val="00342399"/>
    <w:rsid w:val="00342612"/>
    <w:rsid w:val="003439F6"/>
    <w:rsid w:val="00345CFB"/>
    <w:rsid w:val="00345F31"/>
    <w:rsid w:val="003464D8"/>
    <w:rsid w:val="003503BC"/>
    <w:rsid w:val="00350F1B"/>
    <w:rsid w:val="00354035"/>
    <w:rsid w:val="003540EC"/>
    <w:rsid w:val="00355522"/>
    <w:rsid w:val="0035787D"/>
    <w:rsid w:val="003612AC"/>
    <w:rsid w:val="00361957"/>
    <w:rsid w:val="0036201C"/>
    <w:rsid w:val="0036215F"/>
    <w:rsid w:val="0036381B"/>
    <w:rsid w:val="00363DB9"/>
    <w:rsid w:val="003644C2"/>
    <w:rsid w:val="00365CB0"/>
    <w:rsid w:val="00366ABD"/>
    <w:rsid w:val="00366EC9"/>
    <w:rsid w:val="00367B3A"/>
    <w:rsid w:val="00370E53"/>
    <w:rsid w:val="00373889"/>
    <w:rsid w:val="00376768"/>
    <w:rsid w:val="00380F87"/>
    <w:rsid w:val="00382990"/>
    <w:rsid w:val="003843F8"/>
    <w:rsid w:val="00385557"/>
    <w:rsid w:val="00385CD8"/>
    <w:rsid w:val="00385F9C"/>
    <w:rsid w:val="00387B3F"/>
    <w:rsid w:val="003903B4"/>
    <w:rsid w:val="00395AA6"/>
    <w:rsid w:val="0039600F"/>
    <w:rsid w:val="003964E1"/>
    <w:rsid w:val="00397CA6"/>
    <w:rsid w:val="003A09F5"/>
    <w:rsid w:val="003A0E6C"/>
    <w:rsid w:val="003A2D16"/>
    <w:rsid w:val="003A4060"/>
    <w:rsid w:val="003A6FE2"/>
    <w:rsid w:val="003A7208"/>
    <w:rsid w:val="003B0E84"/>
    <w:rsid w:val="003B1699"/>
    <w:rsid w:val="003B3A79"/>
    <w:rsid w:val="003C1F51"/>
    <w:rsid w:val="003C270D"/>
    <w:rsid w:val="003C3A59"/>
    <w:rsid w:val="003C53B0"/>
    <w:rsid w:val="003D230E"/>
    <w:rsid w:val="003D33D8"/>
    <w:rsid w:val="003D5486"/>
    <w:rsid w:val="003D5A91"/>
    <w:rsid w:val="003D6728"/>
    <w:rsid w:val="003D6821"/>
    <w:rsid w:val="003D77C3"/>
    <w:rsid w:val="003D7A17"/>
    <w:rsid w:val="003D7C34"/>
    <w:rsid w:val="003E2427"/>
    <w:rsid w:val="003E35B3"/>
    <w:rsid w:val="003E3995"/>
    <w:rsid w:val="003E4B44"/>
    <w:rsid w:val="003E584D"/>
    <w:rsid w:val="003E6E87"/>
    <w:rsid w:val="003E7A26"/>
    <w:rsid w:val="003F0A1B"/>
    <w:rsid w:val="003F200F"/>
    <w:rsid w:val="003F3063"/>
    <w:rsid w:val="003F3AFD"/>
    <w:rsid w:val="003F3EC1"/>
    <w:rsid w:val="003F43E9"/>
    <w:rsid w:val="003F7574"/>
    <w:rsid w:val="00400919"/>
    <w:rsid w:val="004026BC"/>
    <w:rsid w:val="00405FAE"/>
    <w:rsid w:val="004076C8"/>
    <w:rsid w:val="00407AC6"/>
    <w:rsid w:val="00410737"/>
    <w:rsid w:val="004110DA"/>
    <w:rsid w:val="0041199A"/>
    <w:rsid w:val="00411AB1"/>
    <w:rsid w:val="004128D2"/>
    <w:rsid w:val="004130B8"/>
    <w:rsid w:val="004131B7"/>
    <w:rsid w:val="004137FA"/>
    <w:rsid w:val="0041571B"/>
    <w:rsid w:val="00415A9F"/>
    <w:rsid w:val="00416843"/>
    <w:rsid w:val="004207E3"/>
    <w:rsid w:val="004211FA"/>
    <w:rsid w:val="0042175C"/>
    <w:rsid w:val="00421A4C"/>
    <w:rsid w:val="0042252B"/>
    <w:rsid w:val="00422896"/>
    <w:rsid w:val="00422908"/>
    <w:rsid w:val="004238C2"/>
    <w:rsid w:val="00423CAC"/>
    <w:rsid w:val="004263CF"/>
    <w:rsid w:val="00426661"/>
    <w:rsid w:val="004267B2"/>
    <w:rsid w:val="00426E06"/>
    <w:rsid w:val="004272B0"/>
    <w:rsid w:val="0042738D"/>
    <w:rsid w:val="004320D1"/>
    <w:rsid w:val="00435982"/>
    <w:rsid w:val="00435B5D"/>
    <w:rsid w:val="00435FAC"/>
    <w:rsid w:val="004363F7"/>
    <w:rsid w:val="0044119E"/>
    <w:rsid w:val="00441335"/>
    <w:rsid w:val="0044293F"/>
    <w:rsid w:val="00442F09"/>
    <w:rsid w:val="0044525C"/>
    <w:rsid w:val="00447DC3"/>
    <w:rsid w:val="00447F33"/>
    <w:rsid w:val="004528AE"/>
    <w:rsid w:val="00453B8B"/>
    <w:rsid w:val="00454C01"/>
    <w:rsid w:val="00455109"/>
    <w:rsid w:val="004553F1"/>
    <w:rsid w:val="0045734F"/>
    <w:rsid w:val="00461A0B"/>
    <w:rsid w:val="0046320F"/>
    <w:rsid w:val="004640D9"/>
    <w:rsid w:val="00464281"/>
    <w:rsid w:val="00465127"/>
    <w:rsid w:val="0046542A"/>
    <w:rsid w:val="00465449"/>
    <w:rsid w:val="00466C2B"/>
    <w:rsid w:val="00470991"/>
    <w:rsid w:val="00470AE9"/>
    <w:rsid w:val="00471C1F"/>
    <w:rsid w:val="0047339C"/>
    <w:rsid w:val="00473968"/>
    <w:rsid w:val="00474534"/>
    <w:rsid w:val="00474A64"/>
    <w:rsid w:val="00475609"/>
    <w:rsid w:val="00477685"/>
    <w:rsid w:val="004801E7"/>
    <w:rsid w:val="004809FA"/>
    <w:rsid w:val="00482E71"/>
    <w:rsid w:val="00482F72"/>
    <w:rsid w:val="0048347A"/>
    <w:rsid w:val="00487557"/>
    <w:rsid w:val="00491FFD"/>
    <w:rsid w:val="00497A3D"/>
    <w:rsid w:val="00497B59"/>
    <w:rsid w:val="004A003B"/>
    <w:rsid w:val="004A0C67"/>
    <w:rsid w:val="004A10B4"/>
    <w:rsid w:val="004A2329"/>
    <w:rsid w:val="004A4C27"/>
    <w:rsid w:val="004A7F12"/>
    <w:rsid w:val="004B01D2"/>
    <w:rsid w:val="004B1775"/>
    <w:rsid w:val="004B31C8"/>
    <w:rsid w:val="004B4E87"/>
    <w:rsid w:val="004C0257"/>
    <w:rsid w:val="004C1EC6"/>
    <w:rsid w:val="004C2D09"/>
    <w:rsid w:val="004C4A75"/>
    <w:rsid w:val="004C5033"/>
    <w:rsid w:val="004C7446"/>
    <w:rsid w:val="004C7A34"/>
    <w:rsid w:val="004D0EE1"/>
    <w:rsid w:val="004D198E"/>
    <w:rsid w:val="004D26F8"/>
    <w:rsid w:val="004D282D"/>
    <w:rsid w:val="004D2DA0"/>
    <w:rsid w:val="004D36A8"/>
    <w:rsid w:val="004D41D6"/>
    <w:rsid w:val="004D4FBC"/>
    <w:rsid w:val="004D5583"/>
    <w:rsid w:val="004D5789"/>
    <w:rsid w:val="004D68EA"/>
    <w:rsid w:val="004E14A4"/>
    <w:rsid w:val="004E1796"/>
    <w:rsid w:val="004E1853"/>
    <w:rsid w:val="004E2286"/>
    <w:rsid w:val="004E4D2E"/>
    <w:rsid w:val="004E4E55"/>
    <w:rsid w:val="004E595C"/>
    <w:rsid w:val="004E7008"/>
    <w:rsid w:val="004E738D"/>
    <w:rsid w:val="004F2D88"/>
    <w:rsid w:val="004F4A0A"/>
    <w:rsid w:val="004F54BD"/>
    <w:rsid w:val="004F56C5"/>
    <w:rsid w:val="004F7BED"/>
    <w:rsid w:val="004F7DFE"/>
    <w:rsid w:val="0050013E"/>
    <w:rsid w:val="00500322"/>
    <w:rsid w:val="0050081C"/>
    <w:rsid w:val="00500BD7"/>
    <w:rsid w:val="005012A4"/>
    <w:rsid w:val="00501C14"/>
    <w:rsid w:val="005035B8"/>
    <w:rsid w:val="0050510B"/>
    <w:rsid w:val="00506185"/>
    <w:rsid w:val="00506928"/>
    <w:rsid w:val="00506DFE"/>
    <w:rsid w:val="005104FE"/>
    <w:rsid w:val="00510E8A"/>
    <w:rsid w:val="00511A3C"/>
    <w:rsid w:val="00511AC3"/>
    <w:rsid w:val="00512039"/>
    <w:rsid w:val="00512994"/>
    <w:rsid w:val="00514FA9"/>
    <w:rsid w:val="00515D1B"/>
    <w:rsid w:val="00516CD8"/>
    <w:rsid w:val="00520231"/>
    <w:rsid w:val="005230F2"/>
    <w:rsid w:val="00525227"/>
    <w:rsid w:val="00526756"/>
    <w:rsid w:val="00527077"/>
    <w:rsid w:val="00532DC8"/>
    <w:rsid w:val="005354D0"/>
    <w:rsid w:val="005374DD"/>
    <w:rsid w:val="00540FF9"/>
    <w:rsid w:val="0054172C"/>
    <w:rsid w:val="005425ED"/>
    <w:rsid w:val="00542676"/>
    <w:rsid w:val="00543B84"/>
    <w:rsid w:val="00544862"/>
    <w:rsid w:val="0054590F"/>
    <w:rsid w:val="005459EC"/>
    <w:rsid w:val="00545E2A"/>
    <w:rsid w:val="00545F8C"/>
    <w:rsid w:val="00550269"/>
    <w:rsid w:val="00550B37"/>
    <w:rsid w:val="00552EED"/>
    <w:rsid w:val="00554B74"/>
    <w:rsid w:val="00557DA8"/>
    <w:rsid w:val="005615A1"/>
    <w:rsid w:val="005636F4"/>
    <w:rsid w:val="00563906"/>
    <w:rsid w:val="00563EA4"/>
    <w:rsid w:val="005669C0"/>
    <w:rsid w:val="00566BAE"/>
    <w:rsid w:val="00567F30"/>
    <w:rsid w:val="00567F34"/>
    <w:rsid w:val="00570061"/>
    <w:rsid w:val="0057106E"/>
    <w:rsid w:val="005718B5"/>
    <w:rsid w:val="00572A62"/>
    <w:rsid w:val="005730F9"/>
    <w:rsid w:val="005732B4"/>
    <w:rsid w:val="005745DF"/>
    <w:rsid w:val="0057564F"/>
    <w:rsid w:val="00576279"/>
    <w:rsid w:val="00577394"/>
    <w:rsid w:val="005773C0"/>
    <w:rsid w:val="00577EAC"/>
    <w:rsid w:val="00580487"/>
    <w:rsid w:val="005808FB"/>
    <w:rsid w:val="005811F8"/>
    <w:rsid w:val="00582605"/>
    <w:rsid w:val="00582E38"/>
    <w:rsid w:val="00584AC2"/>
    <w:rsid w:val="0058502C"/>
    <w:rsid w:val="00586216"/>
    <w:rsid w:val="00586B32"/>
    <w:rsid w:val="0059012D"/>
    <w:rsid w:val="00591016"/>
    <w:rsid w:val="005911AF"/>
    <w:rsid w:val="005939F3"/>
    <w:rsid w:val="005946B5"/>
    <w:rsid w:val="00597EDB"/>
    <w:rsid w:val="005A5032"/>
    <w:rsid w:val="005A6AE3"/>
    <w:rsid w:val="005A6C13"/>
    <w:rsid w:val="005A758D"/>
    <w:rsid w:val="005B3F67"/>
    <w:rsid w:val="005B40A7"/>
    <w:rsid w:val="005B5BA1"/>
    <w:rsid w:val="005C1A4A"/>
    <w:rsid w:val="005C2577"/>
    <w:rsid w:val="005C2D82"/>
    <w:rsid w:val="005C3B08"/>
    <w:rsid w:val="005C6A48"/>
    <w:rsid w:val="005D048A"/>
    <w:rsid w:val="005D0783"/>
    <w:rsid w:val="005D1549"/>
    <w:rsid w:val="005D3587"/>
    <w:rsid w:val="005D3594"/>
    <w:rsid w:val="005D4488"/>
    <w:rsid w:val="005D51CE"/>
    <w:rsid w:val="005D548F"/>
    <w:rsid w:val="005D5EAB"/>
    <w:rsid w:val="005D6EF5"/>
    <w:rsid w:val="005E359A"/>
    <w:rsid w:val="005E3A10"/>
    <w:rsid w:val="005E45E9"/>
    <w:rsid w:val="005E5A2C"/>
    <w:rsid w:val="005E7509"/>
    <w:rsid w:val="005E7658"/>
    <w:rsid w:val="005F1705"/>
    <w:rsid w:val="005F1B13"/>
    <w:rsid w:val="005F23E9"/>
    <w:rsid w:val="005F254A"/>
    <w:rsid w:val="005F27A6"/>
    <w:rsid w:val="005F50C2"/>
    <w:rsid w:val="005F6CAB"/>
    <w:rsid w:val="005F77BC"/>
    <w:rsid w:val="00600E2A"/>
    <w:rsid w:val="00601D7F"/>
    <w:rsid w:val="00601FBB"/>
    <w:rsid w:val="00602389"/>
    <w:rsid w:val="00605072"/>
    <w:rsid w:val="00605A4C"/>
    <w:rsid w:val="00605BC8"/>
    <w:rsid w:val="00606B7A"/>
    <w:rsid w:val="00607C36"/>
    <w:rsid w:val="00607EF5"/>
    <w:rsid w:val="00610091"/>
    <w:rsid w:val="006115F7"/>
    <w:rsid w:val="00611F81"/>
    <w:rsid w:val="0061516F"/>
    <w:rsid w:val="006159DA"/>
    <w:rsid w:val="00617499"/>
    <w:rsid w:val="006179E7"/>
    <w:rsid w:val="00622761"/>
    <w:rsid w:val="00622CC5"/>
    <w:rsid w:val="00627800"/>
    <w:rsid w:val="00627E87"/>
    <w:rsid w:val="00627FD8"/>
    <w:rsid w:val="00630D9C"/>
    <w:rsid w:val="00631083"/>
    <w:rsid w:val="006338D2"/>
    <w:rsid w:val="0063410F"/>
    <w:rsid w:val="00634F47"/>
    <w:rsid w:val="00643175"/>
    <w:rsid w:val="00643BAF"/>
    <w:rsid w:val="006444D6"/>
    <w:rsid w:val="00644B68"/>
    <w:rsid w:val="006459DD"/>
    <w:rsid w:val="00645B8B"/>
    <w:rsid w:val="00645CA6"/>
    <w:rsid w:val="006460F7"/>
    <w:rsid w:val="00646DD8"/>
    <w:rsid w:val="0064704B"/>
    <w:rsid w:val="00652C15"/>
    <w:rsid w:val="00652E13"/>
    <w:rsid w:val="00652F29"/>
    <w:rsid w:val="00653D8C"/>
    <w:rsid w:val="0065434F"/>
    <w:rsid w:val="00655044"/>
    <w:rsid w:val="00655310"/>
    <w:rsid w:val="006567F8"/>
    <w:rsid w:val="00656D42"/>
    <w:rsid w:val="006571BC"/>
    <w:rsid w:val="00657349"/>
    <w:rsid w:val="00662CAD"/>
    <w:rsid w:val="00663959"/>
    <w:rsid w:val="0066402E"/>
    <w:rsid w:val="00664F53"/>
    <w:rsid w:val="00666922"/>
    <w:rsid w:val="00666B59"/>
    <w:rsid w:val="006671EF"/>
    <w:rsid w:val="00670F17"/>
    <w:rsid w:val="006710C7"/>
    <w:rsid w:val="00671C4D"/>
    <w:rsid w:val="00674B31"/>
    <w:rsid w:val="00675AAD"/>
    <w:rsid w:val="0067663C"/>
    <w:rsid w:val="00676BE0"/>
    <w:rsid w:val="006808DD"/>
    <w:rsid w:val="00682212"/>
    <w:rsid w:val="006828D6"/>
    <w:rsid w:val="00682F85"/>
    <w:rsid w:val="00683FFF"/>
    <w:rsid w:val="00685F2B"/>
    <w:rsid w:val="00686713"/>
    <w:rsid w:val="006944EC"/>
    <w:rsid w:val="006959CF"/>
    <w:rsid w:val="00696A83"/>
    <w:rsid w:val="00697E9E"/>
    <w:rsid w:val="006A13C2"/>
    <w:rsid w:val="006A28CD"/>
    <w:rsid w:val="006A300A"/>
    <w:rsid w:val="006A36FC"/>
    <w:rsid w:val="006A3F7D"/>
    <w:rsid w:val="006A46C2"/>
    <w:rsid w:val="006A52F8"/>
    <w:rsid w:val="006A54AD"/>
    <w:rsid w:val="006B18CD"/>
    <w:rsid w:val="006B46CE"/>
    <w:rsid w:val="006B75C4"/>
    <w:rsid w:val="006C2548"/>
    <w:rsid w:val="006C3023"/>
    <w:rsid w:val="006C580A"/>
    <w:rsid w:val="006C6922"/>
    <w:rsid w:val="006C6C90"/>
    <w:rsid w:val="006C7B3B"/>
    <w:rsid w:val="006D03A1"/>
    <w:rsid w:val="006D1AC1"/>
    <w:rsid w:val="006D1E69"/>
    <w:rsid w:val="006D39D4"/>
    <w:rsid w:val="006D4201"/>
    <w:rsid w:val="006D4A38"/>
    <w:rsid w:val="006D6B03"/>
    <w:rsid w:val="006E0BB5"/>
    <w:rsid w:val="006E1C94"/>
    <w:rsid w:val="006E26BA"/>
    <w:rsid w:val="006E2AB5"/>
    <w:rsid w:val="006E40D2"/>
    <w:rsid w:val="006E73B7"/>
    <w:rsid w:val="006F015E"/>
    <w:rsid w:val="006F057C"/>
    <w:rsid w:val="006F1280"/>
    <w:rsid w:val="006F2027"/>
    <w:rsid w:val="006F22DA"/>
    <w:rsid w:val="006F2EB3"/>
    <w:rsid w:val="006F38D4"/>
    <w:rsid w:val="006F5CC6"/>
    <w:rsid w:val="006F7564"/>
    <w:rsid w:val="00700DA8"/>
    <w:rsid w:val="00701DD5"/>
    <w:rsid w:val="00702107"/>
    <w:rsid w:val="00703C1C"/>
    <w:rsid w:val="0070430F"/>
    <w:rsid w:val="00704D87"/>
    <w:rsid w:val="0070654C"/>
    <w:rsid w:val="00706F65"/>
    <w:rsid w:val="00707639"/>
    <w:rsid w:val="00707B38"/>
    <w:rsid w:val="007105E0"/>
    <w:rsid w:val="007116B1"/>
    <w:rsid w:val="007119F0"/>
    <w:rsid w:val="00714BEE"/>
    <w:rsid w:val="007154B9"/>
    <w:rsid w:val="007171E6"/>
    <w:rsid w:val="00717709"/>
    <w:rsid w:val="00721215"/>
    <w:rsid w:val="00721917"/>
    <w:rsid w:val="00721CE5"/>
    <w:rsid w:val="007230A5"/>
    <w:rsid w:val="00723F07"/>
    <w:rsid w:val="00724796"/>
    <w:rsid w:val="00726615"/>
    <w:rsid w:val="00731653"/>
    <w:rsid w:val="00732135"/>
    <w:rsid w:val="0073343E"/>
    <w:rsid w:val="0073388C"/>
    <w:rsid w:val="00735BF1"/>
    <w:rsid w:val="0073690A"/>
    <w:rsid w:val="00736CA8"/>
    <w:rsid w:val="007376BF"/>
    <w:rsid w:val="00737E9F"/>
    <w:rsid w:val="007400CF"/>
    <w:rsid w:val="007403C0"/>
    <w:rsid w:val="00740947"/>
    <w:rsid w:val="00742137"/>
    <w:rsid w:val="00743E0D"/>
    <w:rsid w:val="007449A9"/>
    <w:rsid w:val="00745FEE"/>
    <w:rsid w:val="00746451"/>
    <w:rsid w:val="00747C65"/>
    <w:rsid w:val="007506C9"/>
    <w:rsid w:val="0075373B"/>
    <w:rsid w:val="0075411A"/>
    <w:rsid w:val="00754258"/>
    <w:rsid w:val="007569BF"/>
    <w:rsid w:val="00756A93"/>
    <w:rsid w:val="0076097D"/>
    <w:rsid w:val="00761745"/>
    <w:rsid w:val="007618DE"/>
    <w:rsid w:val="00762385"/>
    <w:rsid w:val="0076340A"/>
    <w:rsid w:val="00770A74"/>
    <w:rsid w:val="00770AED"/>
    <w:rsid w:val="00770C16"/>
    <w:rsid w:val="0077233F"/>
    <w:rsid w:val="00772AEA"/>
    <w:rsid w:val="00772F1C"/>
    <w:rsid w:val="00773831"/>
    <w:rsid w:val="00773DA4"/>
    <w:rsid w:val="007749E1"/>
    <w:rsid w:val="00775441"/>
    <w:rsid w:val="00775B5F"/>
    <w:rsid w:val="00785107"/>
    <w:rsid w:val="0079094A"/>
    <w:rsid w:val="0079096D"/>
    <w:rsid w:val="00793094"/>
    <w:rsid w:val="00793B29"/>
    <w:rsid w:val="00793B61"/>
    <w:rsid w:val="00793F77"/>
    <w:rsid w:val="007A2F01"/>
    <w:rsid w:val="007A4863"/>
    <w:rsid w:val="007A718A"/>
    <w:rsid w:val="007A73AA"/>
    <w:rsid w:val="007B23FC"/>
    <w:rsid w:val="007B4407"/>
    <w:rsid w:val="007B4952"/>
    <w:rsid w:val="007B679C"/>
    <w:rsid w:val="007B6BA9"/>
    <w:rsid w:val="007B7254"/>
    <w:rsid w:val="007C0C92"/>
    <w:rsid w:val="007C133D"/>
    <w:rsid w:val="007C6D0E"/>
    <w:rsid w:val="007D0C1D"/>
    <w:rsid w:val="007D11F4"/>
    <w:rsid w:val="007D1335"/>
    <w:rsid w:val="007D2000"/>
    <w:rsid w:val="007D3853"/>
    <w:rsid w:val="007D4DBF"/>
    <w:rsid w:val="007D5947"/>
    <w:rsid w:val="007D6E82"/>
    <w:rsid w:val="007D79C6"/>
    <w:rsid w:val="007E0A37"/>
    <w:rsid w:val="007E2F26"/>
    <w:rsid w:val="007E3AE6"/>
    <w:rsid w:val="007E4149"/>
    <w:rsid w:val="007E442D"/>
    <w:rsid w:val="007E4732"/>
    <w:rsid w:val="007E4BA4"/>
    <w:rsid w:val="007E6035"/>
    <w:rsid w:val="007E7405"/>
    <w:rsid w:val="007F004E"/>
    <w:rsid w:val="007F1125"/>
    <w:rsid w:val="007F1A7C"/>
    <w:rsid w:val="007F335A"/>
    <w:rsid w:val="007F6979"/>
    <w:rsid w:val="007F7D8D"/>
    <w:rsid w:val="00800668"/>
    <w:rsid w:val="00802C3D"/>
    <w:rsid w:val="00803104"/>
    <w:rsid w:val="00803F7F"/>
    <w:rsid w:val="0080402D"/>
    <w:rsid w:val="008046AE"/>
    <w:rsid w:val="00806185"/>
    <w:rsid w:val="008076F5"/>
    <w:rsid w:val="00810242"/>
    <w:rsid w:val="00810D1B"/>
    <w:rsid w:val="00811FB4"/>
    <w:rsid w:val="008125D5"/>
    <w:rsid w:val="00812901"/>
    <w:rsid w:val="008147B3"/>
    <w:rsid w:val="008150CC"/>
    <w:rsid w:val="00820BAA"/>
    <w:rsid w:val="008210D9"/>
    <w:rsid w:val="00822449"/>
    <w:rsid w:val="0082294B"/>
    <w:rsid w:val="00823184"/>
    <w:rsid w:val="0082328E"/>
    <w:rsid w:val="00824FB2"/>
    <w:rsid w:val="00825210"/>
    <w:rsid w:val="00826B05"/>
    <w:rsid w:val="00826B9A"/>
    <w:rsid w:val="0082751A"/>
    <w:rsid w:val="008301E1"/>
    <w:rsid w:val="00831FD0"/>
    <w:rsid w:val="00834CD3"/>
    <w:rsid w:val="00841BAB"/>
    <w:rsid w:val="00842757"/>
    <w:rsid w:val="008439C9"/>
    <w:rsid w:val="00843CC2"/>
    <w:rsid w:val="00844243"/>
    <w:rsid w:val="008459F8"/>
    <w:rsid w:val="008459FF"/>
    <w:rsid w:val="008460C9"/>
    <w:rsid w:val="00846EAE"/>
    <w:rsid w:val="00850210"/>
    <w:rsid w:val="00850251"/>
    <w:rsid w:val="0085266D"/>
    <w:rsid w:val="00852ACC"/>
    <w:rsid w:val="00853BC3"/>
    <w:rsid w:val="00854D60"/>
    <w:rsid w:val="00855209"/>
    <w:rsid w:val="0085572D"/>
    <w:rsid w:val="00855B88"/>
    <w:rsid w:val="008616E1"/>
    <w:rsid w:val="00861FD5"/>
    <w:rsid w:val="00863DE7"/>
    <w:rsid w:val="008646F7"/>
    <w:rsid w:val="00864B58"/>
    <w:rsid w:val="00865AE9"/>
    <w:rsid w:val="00865E81"/>
    <w:rsid w:val="008661E8"/>
    <w:rsid w:val="00866D05"/>
    <w:rsid w:val="00867DF5"/>
    <w:rsid w:val="00871E67"/>
    <w:rsid w:val="00874FC3"/>
    <w:rsid w:val="0087531B"/>
    <w:rsid w:val="00875BF7"/>
    <w:rsid w:val="00877959"/>
    <w:rsid w:val="00880D65"/>
    <w:rsid w:val="00880FA4"/>
    <w:rsid w:val="00881D8E"/>
    <w:rsid w:val="00881F81"/>
    <w:rsid w:val="00882C5C"/>
    <w:rsid w:val="008834D6"/>
    <w:rsid w:val="008856BC"/>
    <w:rsid w:val="00885A35"/>
    <w:rsid w:val="00885F1C"/>
    <w:rsid w:val="00887CEF"/>
    <w:rsid w:val="00891F85"/>
    <w:rsid w:val="00892CAE"/>
    <w:rsid w:val="00892F9D"/>
    <w:rsid w:val="008A0A9A"/>
    <w:rsid w:val="008A2869"/>
    <w:rsid w:val="008A5A87"/>
    <w:rsid w:val="008A5AA0"/>
    <w:rsid w:val="008A5E87"/>
    <w:rsid w:val="008A5EB1"/>
    <w:rsid w:val="008A6195"/>
    <w:rsid w:val="008A6530"/>
    <w:rsid w:val="008A7BE8"/>
    <w:rsid w:val="008B1091"/>
    <w:rsid w:val="008B1836"/>
    <w:rsid w:val="008B1F8B"/>
    <w:rsid w:val="008B28F9"/>
    <w:rsid w:val="008B2BF3"/>
    <w:rsid w:val="008B3A0B"/>
    <w:rsid w:val="008B54B5"/>
    <w:rsid w:val="008B5FE9"/>
    <w:rsid w:val="008B7288"/>
    <w:rsid w:val="008B7862"/>
    <w:rsid w:val="008B7ECF"/>
    <w:rsid w:val="008C1769"/>
    <w:rsid w:val="008C2828"/>
    <w:rsid w:val="008C2AAA"/>
    <w:rsid w:val="008C2B86"/>
    <w:rsid w:val="008C35E3"/>
    <w:rsid w:val="008C586D"/>
    <w:rsid w:val="008C6973"/>
    <w:rsid w:val="008D19EC"/>
    <w:rsid w:val="008D2F0D"/>
    <w:rsid w:val="008D3358"/>
    <w:rsid w:val="008D3E9A"/>
    <w:rsid w:val="008D75D5"/>
    <w:rsid w:val="008D7E9E"/>
    <w:rsid w:val="008E0EFC"/>
    <w:rsid w:val="008E1FD7"/>
    <w:rsid w:val="008E224D"/>
    <w:rsid w:val="008E2AE8"/>
    <w:rsid w:val="008E54FF"/>
    <w:rsid w:val="008E6101"/>
    <w:rsid w:val="008E7DED"/>
    <w:rsid w:val="008F25B8"/>
    <w:rsid w:val="008F2D47"/>
    <w:rsid w:val="008F2F16"/>
    <w:rsid w:val="008F6B63"/>
    <w:rsid w:val="008F72DA"/>
    <w:rsid w:val="008F7FCD"/>
    <w:rsid w:val="00900904"/>
    <w:rsid w:val="00902696"/>
    <w:rsid w:val="00902EDC"/>
    <w:rsid w:val="0090565B"/>
    <w:rsid w:val="0090795C"/>
    <w:rsid w:val="00907EEA"/>
    <w:rsid w:val="00910326"/>
    <w:rsid w:val="00911321"/>
    <w:rsid w:val="009120ED"/>
    <w:rsid w:val="009128BC"/>
    <w:rsid w:val="00913161"/>
    <w:rsid w:val="00913E96"/>
    <w:rsid w:val="009140BE"/>
    <w:rsid w:val="00914F76"/>
    <w:rsid w:val="009150AC"/>
    <w:rsid w:val="009157ED"/>
    <w:rsid w:val="009159AB"/>
    <w:rsid w:val="00917225"/>
    <w:rsid w:val="0092093D"/>
    <w:rsid w:val="00922698"/>
    <w:rsid w:val="00923FBB"/>
    <w:rsid w:val="0092530B"/>
    <w:rsid w:val="009255B1"/>
    <w:rsid w:val="00927096"/>
    <w:rsid w:val="00931229"/>
    <w:rsid w:val="00931767"/>
    <w:rsid w:val="00931958"/>
    <w:rsid w:val="0093226F"/>
    <w:rsid w:val="00934162"/>
    <w:rsid w:val="009341A6"/>
    <w:rsid w:val="009348F1"/>
    <w:rsid w:val="00937E4E"/>
    <w:rsid w:val="009418A7"/>
    <w:rsid w:val="0094208C"/>
    <w:rsid w:val="00942F17"/>
    <w:rsid w:val="00943236"/>
    <w:rsid w:val="00943327"/>
    <w:rsid w:val="0094374E"/>
    <w:rsid w:val="00944828"/>
    <w:rsid w:val="00944DEA"/>
    <w:rsid w:val="00946864"/>
    <w:rsid w:val="00947976"/>
    <w:rsid w:val="00950E30"/>
    <w:rsid w:val="00951841"/>
    <w:rsid w:val="00952A3B"/>
    <w:rsid w:val="00952CEF"/>
    <w:rsid w:val="0095306C"/>
    <w:rsid w:val="00953334"/>
    <w:rsid w:val="00954267"/>
    <w:rsid w:val="00955421"/>
    <w:rsid w:val="00955803"/>
    <w:rsid w:val="00955F36"/>
    <w:rsid w:val="00961278"/>
    <w:rsid w:val="0096155C"/>
    <w:rsid w:val="00962A9E"/>
    <w:rsid w:val="00962BDF"/>
    <w:rsid w:val="009634C9"/>
    <w:rsid w:val="009660DD"/>
    <w:rsid w:val="00970374"/>
    <w:rsid w:val="00971C42"/>
    <w:rsid w:val="00972819"/>
    <w:rsid w:val="0097306D"/>
    <w:rsid w:val="00975091"/>
    <w:rsid w:val="0098132C"/>
    <w:rsid w:val="0098139B"/>
    <w:rsid w:val="009852B2"/>
    <w:rsid w:val="0098618A"/>
    <w:rsid w:val="00986FBB"/>
    <w:rsid w:val="00987021"/>
    <w:rsid w:val="009879B1"/>
    <w:rsid w:val="00987B15"/>
    <w:rsid w:val="00990417"/>
    <w:rsid w:val="00990E9C"/>
    <w:rsid w:val="00991079"/>
    <w:rsid w:val="00992CCD"/>
    <w:rsid w:val="00993D6F"/>
    <w:rsid w:val="00994542"/>
    <w:rsid w:val="00994705"/>
    <w:rsid w:val="00994908"/>
    <w:rsid w:val="00997422"/>
    <w:rsid w:val="009A2893"/>
    <w:rsid w:val="009A3DF5"/>
    <w:rsid w:val="009A700B"/>
    <w:rsid w:val="009B160B"/>
    <w:rsid w:val="009B2310"/>
    <w:rsid w:val="009B29D8"/>
    <w:rsid w:val="009B2A79"/>
    <w:rsid w:val="009B3685"/>
    <w:rsid w:val="009B5F7F"/>
    <w:rsid w:val="009B65B7"/>
    <w:rsid w:val="009C1D5F"/>
    <w:rsid w:val="009C237B"/>
    <w:rsid w:val="009C4612"/>
    <w:rsid w:val="009C4DD1"/>
    <w:rsid w:val="009C4E17"/>
    <w:rsid w:val="009C5EA6"/>
    <w:rsid w:val="009C6C9B"/>
    <w:rsid w:val="009D1262"/>
    <w:rsid w:val="009D22B9"/>
    <w:rsid w:val="009D31EE"/>
    <w:rsid w:val="009D4546"/>
    <w:rsid w:val="009D4961"/>
    <w:rsid w:val="009D57FF"/>
    <w:rsid w:val="009E11FE"/>
    <w:rsid w:val="009E262F"/>
    <w:rsid w:val="009E2B33"/>
    <w:rsid w:val="009E3F71"/>
    <w:rsid w:val="009E5A93"/>
    <w:rsid w:val="009E632B"/>
    <w:rsid w:val="009E68DC"/>
    <w:rsid w:val="009E6B1E"/>
    <w:rsid w:val="009E6E5C"/>
    <w:rsid w:val="009E78C0"/>
    <w:rsid w:val="009E7EDF"/>
    <w:rsid w:val="009F0C47"/>
    <w:rsid w:val="009F1D17"/>
    <w:rsid w:val="009F3154"/>
    <w:rsid w:val="009F4A15"/>
    <w:rsid w:val="00A00727"/>
    <w:rsid w:val="00A00911"/>
    <w:rsid w:val="00A00B53"/>
    <w:rsid w:val="00A01452"/>
    <w:rsid w:val="00A01A4F"/>
    <w:rsid w:val="00A01CC9"/>
    <w:rsid w:val="00A03854"/>
    <w:rsid w:val="00A0456F"/>
    <w:rsid w:val="00A0483D"/>
    <w:rsid w:val="00A06B32"/>
    <w:rsid w:val="00A07378"/>
    <w:rsid w:val="00A0781B"/>
    <w:rsid w:val="00A12119"/>
    <w:rsid w:val="00A1211C"/>
    <w:rsid w:val="00A13422"/>
    <w:rsid w:val="00A13DE2"/>
    <w:rsid w:val="00A13FFF"/>
    <w:rsid w:val="00A16170"/>
    <w:rsid w:val="00A176F4"/>
    <w:rsid w:val="00A20113"/>
    <w:rsid w:val="00A201A5"/>
    <w:rsid w:val="00A20960"/>
    <w:rsid w:val="00A20D78"/>
    <w:rsid w:val="00A2215F"/>
    <w:rsid w:val="00A22839"/>
    <w:rsid w:val="00A22E7B"/>
    <w:rsid w:val="00A23E19"/>
    <w:rsid w:val="00A23F59"/>
    <w:rsid w:val="00A26E1D"/>
    <w:rsid w:val="00A302D9"/>
    <w:rsid w:val="00A306AE"/>
    <w:rsid w:val="00A30F55"/>
    <w:rsid w:val="00A33185"/>
    <w:rsid w:val="00A33736"/>
    <w:rsid w:val="00A341B0"/>
    <w:rsid w:val="00A35EBF"/>
    <w:rsid w:val="00A37D47"/>
    <w:rsid w:val="00A37D6B"/>
    <w:rsid w:val="00A37F9C"/>
    <w:rsid w:val="00A40AD3"/>
    <w:rsid w:val="00A41F6E"/>
    <w:rsid w:val="00A455A0"/>
    <w:rsid w:val="00A46326"/>
    <w:rsid w:val="00A47302"/>
    <w:rsid w:val="00A478B5"/>
    <w:rsid w:val="00A51791"/>
    <w:rsid w:val="00A51A8F"/>
    <w:rsid w:val="00A51E18"/>
    <w:rsid w:val="00A52A14"/>
    <w:rsid w:val="00A53B04"/>
    <w:rsid w:val="00A54C6D"/>
    <w:rsid w:val="00A55B2F"/>
    <w:rsid w:val="00A56676"/>
    <w:rsid w:val="00A57B47"/>
    <w:rsid w:val="00A608D1"/>
    <w:rsid w:val="00A61241"/>
    <w:rsid w:val="00A61900"/>
    <w:rsid w:val="00A619F9"/>
    <w:rsid w:val="00A63319"/>
    <w:rsid w:val="00A64090"/>
    <w:rsid w:val="00A64E8F"/>
    <w:rsid w:val="00A64EAC"/>
    <w:rsid w:val="00A65B6A"/>
    <w:rsid w:val="00A65E5C"/>
    <w:rsid w:val="00A661F4"/>
    <w:rsid w:val="00A66326"/>
    <w:rsid w:val="00A72243"/>
    <w:rsid w:val="00A7261B"/>
    <w:rsid w:val="00A7271A"/>
    <w:rsid w:val="00A72741"/>
    <w:rsid w:val="00A74D79"/>
    <w:rsid w:val="00A76612"/>
    <w:rsid w:val="00A7679B"/>
    <w:rsid w:val="00A77528"/>
    <w:rsid w:val="00A81AE3"/>
    <w:rsid w:val="00A81E19"/>
    <w:rsid w:val="00A85BAE"/>
    <w:rsid w:val="00A85BE1"/>
    <w:rsid w:val="00A87AD5"/>
    <w:rsid w:val="00A904DD"/>
    <w:rsid w:val="00A91DF5"/>
    <w:rsid w:val="00A92D1E"/>
    <w:rsid w:val="00A93CF8"/>
    <w:rsid w:val="00A95D88"/>
    <w:rsid w:val="00A97158"/>
    <w:rsid w:val="00A9723B"/>
    <w:rsid w:val="00A97458"/>
    <w:rsid w:val="00AA10AE"/>
    <w:rsid w:val="00AA2087"/>
    <w:rsid w:val="00AA34E4"/>
    <w:rsid w:val="00AA38FF"/>
    <w:rsid w:val="00AA4D14"/>
    <w:rsid w:val="00AA790E"/>
    <w:rsid w:val="00AB09CC"/>
    <w:rsid w:val="00AB116F"/>
    <w:rsid w:val="00AB20F7"/>
    <w:rsid w:val="00AB293D"/>
    <w:rsid w:val="00AB2E74"/>
    <w:rsid w:val="00AB30D2"/>
    <w:rsid w:val="00AB3405"/>
    <w:rsid w:val="00AB5908"/>
    <w:rsid w:val="00AB598A"/>
    <w:rsid w:val="00AB5BFB"/>
    <w:rsid w:val="00AB795F"/>
    <w:rsid w:val="00AC133A"/>
    <w:rsid w:val="00AC3A19"/>
    <w:rsid w:val="00AC5B40"/>
    <w:rsid w:val="00AC6312"/>
    <w:rsid w:val="00AC6A35"/>
    <w:rsid w:val="00AC6FA4"/>
    <w:rsid w:val="00AC733C"/>
    <w:rsid w:val="00AD06CB"/>
    <w:rsid w:val="00AD0F83"/>
    <w:rsid w:val="00AD1E77"/>
    <w:rsid w:val="00AD2C1B"/>
    <w:rsid w:val="00AD4566"/>
    <w:rsid w:val="00AD4B25"/>
    <w:rsid w:val="00AD6D80"/>
    <w:rsid w:val="00AE02C8"/>
    <w:rsid w:val="00AE2D6D"/>
    <w:rsid w:val="00AE347A"/>
    <w:rsid w:val="00AE3D51"/>
    <w:rsid w:val="00AE459C"/>
    <w:rsid w:val="00AE4ADD"/>
    <w:rsid w:val="00AE5378"/>
    <w:rsid w:val="00AE5998"/>
    <w:rsid w:val="00AF0A6F"/>
    <w:rsid w:val="00AF1257"/>
    <w:rsid w:val="00AF4F1F"/>
    <w:rsid w:val="00AF7736"/>
    <w:rsid w:val="00AF7831"/>
    <w:rsid w:val="00B02DDA"/>
    <w:rsid w:val="00B04246"/>
    <w:rsid w:val="00B073FB"/>
    <w:rsid w:val="00B10665"/>
    <w:rsid w:val="00B10CCC"/>
    <w:rsid w:val="00B1160D"/>
    <w:rsid w:val="00B124BA"/>
    <w:rsid w:val="00B139FB"/>
    <w:rsid w:val="00B13E46"/>
    <w:rsid w:val="00B144FD"/>
    <w:rsid w:val="00B14852"/>
    <w:rsid w:val="00B17710"/>
    <w:rsid w:val="00B2230A"/>
    <w:rsid w:val="00B2384C"/>
    <w:rsid w:val="00B242A4"/>
    <w:rsid w:val="00B252C4"/>
    <w:rsid w:val="00B26341"/>
    <w:rsid w:val="00B26FD5"/>
    <w:rsid w:val="00B278EA"/>
    <w:rsid w:val="00B27B93"/>
    <w:rsid w:val="00B33E3B"/>
    <w:rsid w:val="00B3536B"/>
    <w:rsid w:val="00B37CDC"/>
    <w:rsid w:val="00B40411"/>
    <w:rsid w:val="00B41EB1"/>
    <w:rsid w:val="00B428BD"/>
    <w:rsid w:val="00B436A4"/>
    <w:rsid w:val="00B444E6"/>
    <w:rsid w:val="00B45F74"/>
    <w:rsid w:val="00B51AB6"/>
    <w:rsid w:val="00B52011"/>
    <w:rsid w:val="00B53EFF"/>
    <w:rsid w:val="00B54848"/>
    <w:rsid w:val="00B54AFA"/>
    <w:rsid w:val="00B56DEE"/>
    <w:rsid w:val="00B6003D"/>
    <w:rsid w:val="00B600C7"/>
    <w:rsid w:val="00B62EC8"/>
    <w:rsid w:val="00B63031"/>
    <w:rsid w:val="00B63DA4"/>
    <w:rsid w:val="00B652BC"/>
    <w:rsid w:val="00B65E54"/>
    <w:rsid w:val="00B665C9"/>
    <w:rsid w:val="00B668F7"/>
    <w:rsid w:val="00B66C20"/>
    <w:rsid w:val="00B671A4"/>
    <w:rsid w:val="00B673E8"/>
    <w:rsid w:val="00B711B6"/>
    <w:rsid w:val="00B73D51"/>
    <w:rsid w:val="00B743AA"/>
    <w:rsid w:val="00B75740"/>
    <w:rsid w:val="00B76CE3"/>
    <w:rsid w:val="00B76F5E"/>
    <w:rsid w:val="00B774AC"/>
    <w:rsid w:val="00B77F87"/>
    <w:rsid w:val="00B804E8"/>
    <w:rsid w:val="00B82705"/>
    <w:rsid w:val="00B827E0"/>
    <w:rsid w:val="00B82C65"/>
    <w:rsid w:val="00B83413"/>
    <w:rsid w:val="00B83589"/>
    <w:rsid w:val="00B841A9"/>
    <w:rsid w:val="00B867F0"/>
    <w:rsid w:val="00B905A2"/>
    <w:rsid w:val="00B93789"/>
    <w:rsid w:val="00B938AD"/>
    <w:rsid w:val="00B94296"/>
    <w:rsid w:val="00B952EB"/>
    <w:rsid w:val="00B95A04"/>
    <w:rsid w:val="00B95C88"/>
    <w:rsid w:val="00B97DF9"/>
    <w:rsid w:val="00BA1A7D"/>
    <w:rsid w:val="00BA33F6"/>
    <w:rsid w:val="00BA36B4"/>
    <w:rsid w:val="00BA56A7"/>
    <w:rsid w:val="00BA5875"/>
    <w:rsid w:val="00BB06FF"/>
    <w:rsid w:val="00BB24C0"/>
    <w:rsid w:val="00BB3E87"/>
    <w:rsid w:val="00BB4268"/>
    <w:rsid w:val="00BB5408"/>
    <w:rsid w:val="00BB67C7"/>
    <w:rsid w:val="00BB7104"/>
    <w:rsid w:val="00BB77A3"/>
    <w:rsid w:val="00BC206C"/>
    <w:rsid w:val="00BC2C67"/>
    <w:rsid w:val="00BC33EB"/>
    <w:rsid w:val="00BC3B2D"/>
    <w:rsid w:val="00BC431A"/>
    <w:rsid w:val="00BC4441"/>
    <w:rsid w:val="00BD06E4"/>
    <w:rsid w:val="00BD50CB"/>
    <w:rsid w:val="00BD62F7"/>
    <w:rsid w:val="00BD6443"/>
    <w:rsid w:val="00BD65B9"/>
    <w:rsid w:val="00BE1A3A"/>
    <w:rsid w:val="00BE3B4D"/>
    <w:rsid w:val="00BE4492"/>
    <w:rsid w:val="00BE49BE"/>
    <w:rsid w:val="00BE4BC0"/>
    <w:rsid w:val="00BE796A"/>
    <w:rsid w:val="00BE7AC5"/>
    <w:rsid w:val="00BF2CB4"/>
    <w:rsid w:val="00BF31D9"/>
    <w:rsid w:val="00BF35D3"/>
    <w:rsid w:val="00BF4FC2"/>
    <w:rsid w:val="00BF507D"/>
    <w:rsid w:val="00BF515E"/>
    <w:rsid w:val="00BF58B1"/>
    <w:rsid w:val="00BF5AFA"/>
    <w:rsid w:val="00BF5D7C"/>
    <w:rsid w:val="00BF6398"/>
    <w:rsid w:val="00BF73E8"/>
    <w:rsid w:val="00BF7BFE"/>
    <w:rsid w:val="00C006B1"/>
    <w:rsid w:val="00C013F6"/>
    <w:rsid w:val="00C01A35"/>
    <w:rsid w:val="00C02A07"/>
    <w:rsid w:val="00C03772"/>
    <w:rsid w:val="00C0458E"/>
    <w:rsid w:val="00C04EDA"/>
    <w:rsid w:val="00C052B0"/>
    <w:rsid w:val="00C05D52"/>
    <w:rsid w:val="00C07F50"/>
    <w:rsid w:val="00C10090"/>
    <w:rsid w:val="00C10132"/>
    <w:rsid w:val="00C103EE"/>
    <w:rsid w:val="00C10D68"/>
    <w:rsid w:val="00C11765"/>
    <w:rsid w:val="00C119A2"/>
    <w:rsid w:val="00C12B68"/>
    <w:rsid w:val="00C13238"/>
    <w:rsid w:val="00C14218"/>
    <w:rsid w:val="00C17481"/>
    <w:rsid w:val="00C24AFB"/>
    <w:rsid w:val="00C25742"/>
    <w:rsid w:val="00C30B28"/>
    <w:rsid w:val="00C3233E"/>
    <w:rsid w:val="00C32C26"/>
    <w:rsid w:val="00C32EF4"/>
    <w:rsid w:val="00C363D7"/>
    <w:rsid w:val="00C37269"/>
    <w:rsid w:val="00C3792D"/>
    <w:rsid w:val="00C37DEB"/>
    <w:rsid w:val="00C4064D"/>
    <w:rsid w:val="00C41FAE"/>
    <w:rsid w:val="00C453BC"/>
    <w:rsid w:val="00C45D76"/>
    <w:rsid w:val="00C46F1C"/>
    <w:rsid w:val="00C530FD"/>
    <w:rsid w:val="00C53C08"/>
    <w:rsid w:val="00C53F1A"/>
    <w:rsid w:val="00C543E8"/>
    <w:rsid w:val="00C55F3B"/>
    <w:rsid w:val="00C56832"/>
    <w:rsid w:val="00C57267"/>
    <w:rsid w:val="00C616FF"/>
    <w:rsid w:val="00C62B63"/>
    <w:rsid w:val="00C64B59"/>
    <w:rsid w:val="00C65856"/>
    <w:rsid w:val="00C67CCE"/>
    <w:rsid w:val="00C72B5B"/>
    <w:rsid w:val="00C72D39"/>
    <w:rsid w:val="00C7448E"/>
    <w:rsid w:val="00C74975"/>
    <w:rsid w:val="00C74F13"/>
    <w:rsid w:val="00C777C6"/>
    <w:rsid w:val="00C806F2"/>
    <w:rsid w:val="00C835F0"/>
    <w:rsid w:val="00C83895"/>
    <w:rsid w:val="00C85706"/>
    <w:rsid w:val="00C869F3"/>
    <w:rsid w:val="00C87E8D"/>
    <w:rsid w:val="00C918D7"/>
    <w:rsid w:val="00C919FB"/>
    <w:rsid w:val="00C91A59"/>
    <w:rsid w:val="00C921EC"/>
    <w:rsid w:val="00C9384D"/>
    <w:rsid w:val="00C94173"/>
    <w:rsid w:val="00C94632"/>
    <w:rsid w:val="00C951EB"/>
    <w:rsid w:val="00C9595A"/>
    <w:rsid w:val="00CA1380"/>
    <w:rsid w:val="00CA3D5F"/>
    <w:rsid w:val="00CA7540"/>
    <w:rsid w:val="00CB272D"/>
    <w:rsid w:val="00CB4595"/>
    <w:rsid w:val="00CB533F"/>
    <w:rsid w:val="00CB76A1"/>
    <w:rsid w:val="00CB7785"/>
    <w:rsid w:val="00CC1646"/>
    <w:rsid w:val="00CC16F7"/>
    <w:rsid w:val="00CC18AC"/>
    <w:rsid w:val="00CC1F39"/>
    <w:rsid w:val="00CC3602"/>
    <w:rsid w:val="00CC3DE7"/>
    <w:rsid w:val="00CC5CCF"/>
    <w:rsid w:val="00CC6357"/>
    <w:rsid w:val="00CC6A4D"/>
    <w:rsid w:val="00CC6CBF"/>
    <w:rsid w:val="00CC6F37"/>
    <w:rsid w:val="00CD0ACD"/>
    <w:rsid w:val="00CD0BB6"/>
    <w:rsid w:val="00CD1D8B"/>
    <w:rsid w:val="00CD5C0F"/>
    <w:rsid w:val="00CD7D5D"/>
    <w:rsid w:val="00CE0477"/>
    <w:rsid w:val="00CE15C0"/>
    <w:rsid w:val="00CE1927"/>
    <w:rsid w:val="00CE20DF"/>
    <w:rsid w:val="00CE3F32"/>
    <w:rsid w:val="00CE47B1"/>
    <w:rsid w:val="00CE4BCC"/>
    <w:rsid w:val="00CE5425"/>
    <w:rsid w:val="00CE60B3"/>
    <w:rsid w:val="00CE6457"/>
    <w:rsid w:val="00CF0404"/>
    <w:rsid w:val="00CF0621"/>
    <w:rsid w:val="00CF090C"/>
    <w:rsid w:val="00CF0C46"/>
    <w:rsid w:val="00CF0FC4"/>
    <w:rsid w:val="00CF1177"/>
    <w:rsid w:val="00CF1CB6"/>
    <w:rsid w:val="00CF35C4"/>
    <w:rsid w:val="00CF3C54"/>
    <w:rsid w:val="00CF6932"/>
    <w:rsid w:val="00D0125A"/>
    <w:rsid w:val="00D01FE3"/>
    <w:rsid w:val="00D0336D"/>
    <w:rsid w:val="00D0381E"/>
    <w:rsid w:val="00D060E2"/>
    <w:rsid w:val="00D06CA3"/>
    <w:rsid w:val="00D0742E"/>
    <w:rsid w:val="00D07C42"/>
    <w:rsid w:val="00D07F07"/>
    <w:rsid w:val="00D07F46"/>
    <w:rsid w:val="00D103F2"/>
    <w:rsid w:val="00D108ED"/>
    <w:rsid w:val="00D12D73"/>
    <w:rsid w:val="00D131F8"/>
    <w:rsid w:val="00D13ABC"/>
    <w:rsid w:val="00D170E5"/>
    <w:rsid w:val="00D23997"/>
    <w:rsid w:val="00D2501F"/>
    <w:rsid w:val="00D3405F"/>
    <w:rsid w:val="00D34324"/>
    <w:rsid w:val="00D35FBF"/>
    <w:rsid w:val="00D36399"/>
    <w:rsid w:val="00D3735A"/>
    <w:rsid w:val="00D37F2F"/>
    <w:rsid w:val="00D40E01"/>
    <w:rsid w:val="00D4140A"/>
    <w:rsid w:val="00D415B9"/>
    <w:rsid w:val="00D41649"/>
    <w:rsid w:val="00D423C2"/>
    <w:rsid w:val="00D423F6"/>
    <w:rsid w:val="00D43114"/>
    <w:rsid w:val="00D436AD"/>
    <w:rsid w:val="00D44660"/>
    <w:rsid w:val="00D473AA"/>
    <w:rsid w:val="00D47471"/>
    <w:rsid w:val="00D50E8C"/>
    <w:rsid w:val="00D5229B"/>
    <w:rsid w:val="00D528E8"/>
    <w:rsid w:val="00D53018"/>
    <w:rsid w:val="00D537AA"/>
    <w:rsid w:val="00D54843"/>
    <w:rsid w:val="00D55266"/>
    <w:rsid w:val="00D55E57"/>
    <w:rsid w:val="00D56415"/>
    <w:rsid w:val="00D57BB2"/>
    <w:rsid w:val="00D57E39"/>
    <w:rsid w:val="00D614EC"/>
    <w:rsid w:val="00D625A4"/>
    <w:rsid w:val="00D62E13"/>
    <w:rsid w:val="00D636E7"/>
    <w:rsid w:val="00D637A8"/>
    <w:rsid w:val="00D63ABF"/>
    <w:rsid w:val="00D6660F"/>
    <w:rsid w:val="00D6672B"/>
    <w:rsid w:val="00D66773"/>
    <w:rsid w:val="00D66BEC"/>
    <w:rsid w:val="00D70D0B"/>
    <w:rsid w:val="00D71737"/>
    <w:rsid w:val="00D71D5C"/>
    <w:rsid w:val="00D7266E"/>
    <w:rsid w:val="00D740A9"/>
    <w:rsid w:val="00D7532A"/>
    <w:rsid w:val="00D7543E"/>
    <w:rsid w:val="00D76C18"/>
    <w:rsid w:val="00D771D0"/>
    <w:rsid w:val="00D80FD2"/>
    <w:rsid w:val="00D82350"/>
    <w:rsid w:val="00D835CF"/>
    <w:rsid w:val="00D90574"/>
    <w:rsid w:val="00D90C3D"/>
    <w:rsid w:val="00D91D10"/>
    <w:rsid w:val="00D929A3"/>
    <w:rsid w:val="00D9331C"/>
    <w:rsid w:val="00D9372B"/>
    <w:rsid w:val="00D93882"/>
    <w:rsid w:val="00DA09C6"/>
    <w:rsid w:val="00DA176F"/>
    <w:rsid w:val="00DA1958"/>
    <w:rsid w:val="00DA22F8"/>
    <w:rsid w:val="00DA26FB"/>
    <w:rsid w:val="00DA2A46"/>
    <w:rsid w:val="00DA2F7F"/>
    <w:rsid w:val="00DA32B8"/>
    <w:rsid w:val="00DA36BE"/>
    <w:rsid w:val="00DA5044"/>
    <w:rsid w:val="00DA58DC"/>
    <w:rsid w:val="00DA5E6F"/>
    <w:rsid w:val="00DA639B"/>
    <w:rsid w:val="00DB0074"/>
    <w:rsid w:val="00DB0F06"/>
    <w:rsid w:val="00DB34C2"/>
    <w:rsid w:val="00DB3B45"/>
    <w:rsid w:val="00DB4876"/>
    <w:rsid w:val="00DB6C3D"/>
    <w:rsid w:val="00DB7199"/>
    <w:rsid w:val="00DC097B"/>
    <w:rsid w:val="00DC2513"/>
    <w:rsid w:val="00DC3653"/>
    <w:rsid w:val="00DC3F61"/>
    <w:rsid w:val="00DC5ACF"/>
    <w:rsid w:val="00DC6EAA"/>
    <w:rsid w:val="00DC7222"/>
    <w:rsid w:val="00DD10B4"/>
    <w:rsid w:val="00DD1EA6"/>
    <w:rsid w:val="00DD3573"/>
    <w:rsid w:val="00DD37CA"/>
    <w:rsid w:val="00DD385C"/>
    <w:rsid w:val="00DD49FF"/>
    <w:rsid w:val="00DD5E78"/>
    <w:rsid w:val="00DD607B"/>
    <w:rsid w:val="00DD7468"/>
    <w:rsid w:val="00DE0368"/>
    <w:rsid w:val="00DE05E2"/>
    <w:rsid w:val="00DE25E9"/>
    <w:rsid w:val="00DE368F"/>
    <w:rsid w:val="00DE41C3"/>
    <w:rsid w:val="00DE71D3"/>
    <w:rsid w:val="00DE72CF"/>
    <w:rsid w:val="00DF08A0"/>
    <w:rsid w:val="00DF1174"/>
    <w:rsid w:val="00DF16BD"/>
    <w:rsid w:val="00DF417E"/>
    <w:rsid w:val="00DF56D8"/>
    <w:rsid w:val="00DF692A"/>
    <w:rsid w:val="00DF69D3"/>
    <w:rsid w:val="00DF7339"/>
    <w:rsid w:val="00E008A7"/>
    <w:rsid w:val="00E00BAC"/>
    <w:rsid w:val="00E01315"/>
    <w:rsid w:val="00E01425"/>
    <w:rsid w:val="00E03DB8"/>
    <w:rsid w:val="00E05EA3"/>
    <w:rsid w:val="00E0641C"/>
    <w:rsid w:val="00E068EA"/>
    <w:rsid w:val="00E0739D"/>
    <w:rsid w:val="00E1050A"/>
    <w:rsid w:val="00E10CCB"/>
    <w:rsid w:val="00E13BEF"/>
    <w:rsid w:val="00E148AC"/>
    <w:rsid w:val="00E16134"/>
    <w:rsid w:val="00E20A3D"/>
    <w:rsid w:val="00E21B9B"/>
    <w:rsid w:val="00E25066"/>
    <w:rsid w:val="00E26D36"/>
    <w:rsid w:val="00E31CF0"/>
    <w:rsid w:val="00E31EB9"/>
    <w:rsid w:val="00E347F4"/>
    <w:rsid w:val="00E35B95"/>
    <w:rsid w:val="00E35E40"/>
    <w:rsid w:val="00E41369"/>
    <w:rsid w:val="00E41702"/>
    <w:rsid w:val="00E419C5"/>
    <w:rsid w:val="00E45200"/>
    <w:rsid w:val="00E45757"/>
    <w:rsid w:val="00E46E7D"/>
    <w:rsid w:val="00E510DA"/>
    <w:rsid w:val="00E52B83"/>
    <w:rsid w:val="00E5419A"/>
    <w:rsid w:val="00E5522C"/>
    <w:rsid w:val="00E5643C"/>
    <w:rsid w:val="00E5671D"/>
    <w:rsid w:val="00E569A2"/>
    <w:rsid w:val="00E57555"/>
    <w:rsid w:val="00E60117"/>
    <w:rsid w:val="00E61DCA"/>
    <w:rsid w:val="00E6239D"/>
    <w:rsid w:val="00E62A0B"/>
    <w:rsid w:val="00E64494"/>
    <w:rsid w:val="00E64ADD"/>
    <w:rsid w:val="00E6603F"/>
    <w:rsid w:val="00E67C24"/>
    <w:rsid w:val="00E70760"/>
    <w:rsid w:val="00E70949"/>
    <w:rsid w:val="00E71114"/>
    <w:rsid w:val="00E714BE"/>
    <w:rsid w:val="00E715AE"/>
    <w:rsid w:val="00E730EA"/>
    <w:rsid w:val="00E73545"/>
    <w:rsid w:val="00E7531D"/>
    <w:rsid w:val="00E76404"/>
    <w:rsid w:val="00E80740"/>
    <w:rsid w:val="00E81382"/>
    <w:rsid w:val="00E8165C"/>
    <w:rsid w:val="00E818DA"/>
    <w:rsid w:val="00E819AA"/>
    <w:rsid w:val="00E8233D"/>
    <w:rsid w:val="00E8279F"/>
    <w:rsid w:val="00E84C7C"/>
    <w:rsid w:val="00E84DAE"/>
    <w:rsid w:val="00E85C75"/>
    <w:rsid w:val="00E86165"/>
    <w:rsid w:val="00E87E68"/>
    <w:rsid w:val="00E904F7"/>
    <w:rsid w:val="00E9253C"/>
    <w:rsid w:val="00E93D8B"/>
    <w:rsid w:val="00E9495C"/>
    <w:rsid w:val="00E949D7"/>
    <w:rsid w:val="00E94B18"/>
    <w:rsid w:val="00EA08F5"/>
    <w:rsid w:val="00EA09E8"/>
    <w:rsid w:val="00EA113F"/>
    <w:rsid w:val="00EA19AC"/>
    <w:rsid w:val="00EA416F"/>
    <w:rsid w:val="00EA7E9F"/>
    <w:rsid w:val="00EB11C7"/>
    <w:rsid w:val="00EB31BE"/>
    <w:rsid w:val="00EB3CF0"/>
    <w:rsid w:val="00EB45B5"/>
    <w:rsid w:val="00EB5E57"/>
    <w:rsid w:val="00EB60D1"/>
    <w:rsid w:val="00EB61DB"/>
    <w:rsid w:val="00EB7062"/>
    <w:rsid w:val="00EB751E"/>
    <w:rsid w:val="00EB793A"/>
    <w:rsid w:val="00EB7943"/>
    <w:rsid w:val="00EB7F52"/>
    <w:rsid w:val="00EC028F"/>
    <w:rsid w:val="00EC40AF"/>
    <w:rsid w:val="00EC6A8D"/>
    <w:rsid w:val="00ED1AD0"/>
    <w:rsid w:val="00ED238C"/>
    <w:rsid w:val="00ED29DE"/>
    <w:rsid w:val="00ED4453"/>
    <w:rsid w:val="00ED46E5"/>
    <w:rsid w:val="00ED4AFD"/>
    <w:rsid w:val="00ED6776"/>
    <w:rsid w:val="00EE064A"/>
    <w:rsid w:val="00EE0AC0"/>
    <w:rsid w:val="00EE0F26"/>
    <w:rsid w:val="00EE231C"/>
    <w:rsid w:val="00EE3706"/>
    <w:rsid w:val="00EE472C"/>
    <w:rsid w:val="00EE4A0E"/>
    <w:rsid w:val="00EE4FBE"/>
    <w:rsid w:val="00EE5933"/>
    <w:rsid w:val="00EE5E84"/>
    <w:rsid w:val="00EE7321"/>
    <w:rsid w:val="00EE7463"/>
    <w:rsid w:val="00EE7C98"/>
    <w:rsid w:val="00EF02AB"/>
    <w:rsid w:val="00EF41AB"/>
    <w:rsid w:val="00EF4645"/>
    <w:rsid w:val="00EF5BFD"/>
    <w:rsid w:val="00F02784"/>
    <w:rsid w:val="00F038A1"/>
    <w:rsid w:val="00F03B7F"/>
    <w:rsid w:val="00F0451F"/>
    <w:rsid w:val="00F06E4E"/>
    <w:rsid w:val="00F0706D"/>
    <w:rsid w:val="00F077BD"/>
    <w:rsid w:val="00F10141"/>
    <w:rsid w:val="00F10E95"/>
    <w:rsid w:val="00F13D43"/>
    <w:rsid w:val="00F16A1C"/>
    <w:rsid w:val="00F17258"/>
    <w:rsid w:val="00F20255"/>
    <w:rsid w:val="00F21ACC"/>
    <w:rsid w:val="00F21AE0"/>
    <w:rsid w:val="00F21AE2"/>
    <w:rsid w:val="00F21C34"/>
    <w:rsid w:val="00F22C8A"/>
    <w:rsid w:val="00F23155"/>
    <w:rsid w:val="00F23376"/>
    <w:rsid w:val="00F238E0"/>
    <w:rsid w:val="00F268A7"/>
    <w:rsid w:val="00F271DC"/>
    <w:rsid w:val="00F30056"/>
    <w:rsid w:val="00F3062A"/>
    <w:rsid w:val="00F32733"/>
    <w:rsid w:val="00F35D92"/>
    <w:rsid w:val="00F36456"/>
    <w:rsid w:val="00F36DC2"/>
    <w:rsid w:val="00F37247"/>
    <w:rsid w:val="00F37D5E"/>
    <w:rsid w:val="00F402C9"/>
    <w:rsid w:val="00F45521"/>
    <w:rsid w:val="00F4652B"/>
    <w:rsid w:val="00F47C25"/>
    <w:rsid w:val="00F51A4B"/>
    <w:rsid w:val="00F51E01"/>
    <w:rsid w:val="00F5457A"/>
    <w:rsid w:val="00F5649A"/>
    <w:rsid w:val="00F56E9C"/>
    <w:rsid w:val="00F575F7"/>
    <w:rsid w:val="00F6010B"/>
    <w:rsid w:val="00F60489"/>
    <w:rsid w:val="00F63055"/>
    <w:rsid w:val="00F63585"/>
    <w:rsid w:val="00F643B1"/>
    <w:rsid w:val="00F6480F"/>
    <w:rsid w:val="00F64934"/>
    <w:rsid w:val="00F64D14"/>
    <w:rsid w:val="00F650DF"/>
    <w:rsid w:val="00F66DA1"/>
    <w:rsid w:val="00F67DC5"/>
    <w:rsid w:val="00F72FCA"/>
    <w:rsid w:val="00F7326D"/>
    <w:rsid w:val="00F740F4"/>
    <w:rsid w:val="00F741F7"/>
    <w:rsid w:val="00F74726"/>
    <w:rsid w:val="00F773E5"/>
    <w:rsid w:val="00F80329"/>
    <w:rsid w:val="00F82342"/>
    <w:rsid w:val="00F82ABE"/>
    <w:rsid w:val="00F82FBE"/>
    <w:rsid w:val="00F83CDF"/>
    <w:rsid w:val="00F8674F"/>
    <w:rsid w:val="00F877DB"/>
    <w:rsid w:val="00F9035B"/>
    <w:rsid w:val="00F903D6"/>
    <w:rsid w:val="00F91AE4"/>
    <w:rsid w:val="00F922E8"/>
    <w:rsid w:val="00F93C8B"/>
    <w:rsid w:val="00F94548"/>
    <w:rsid w:val="00F94D40"/>
    <w:rsid w:val="00F959DD"/>
    <w:rsid w:val="00F95CA8"/>
    <w:rsid w:val="00F95CC4"/>
    <w:rsid w:val="00F960D5"/>
    <w:rsid w:val="00F9711F"/>
    <w:rsid w:val="00FA1EC2"/>
    <w:rsid w:val="00FA5A0F"/>
    <w:rsid w:val="00FA5EDE"/>
    <w:rsid w:val="00FA7904"/>
    <w:rsid w:val="00FB113A"/>
    <w:rsid w:val="00FB1231"/>
    <w:rsid w:val="00FB44E6"/>
    <w:rsid w:val="00FB5EE2"/>
    <w:rsid w:val="00FC1C5C"/>
    <w:rsid w:val="00FC49D7"/>
    <w:rsid w:val="00FC4C34"/>
    <w:rsid w:val="00FC625E"/>
    <w:rsid w:val="00FD11FD"/>
    <w:rsid w:val="00FD126F"/>
    <w:rsid w:val="00FD2B0B"/>
    <w:rsid w:val="00FD41A2"/>
    <w:rsid w:val="00FD424D"/>
    <w:rsid w:val="00FD5A6D"/>
    <w:rsid w:val="00FD61D7"/>
    <w:rsid w:val="00FD6313"/>
    <w:rsid w:val="00FD76FA"/>
    <w:rsid w:val="00FE17E2"/>
    <w:rsid w:val="00FE1B3D"/>
    <w:rsid w:val="00FE2CD7"/>
    <w:rsid w:val="00FE4EEF"/>
    <w:rsid w:val="00FE5514"/>
    <w:rsid w:val="00FE729C"/>
    <w:rsid w:val="00FF039C"/>
    <w:rsid w:val="00FF04FA"/>
    <w:rsid w:val="00FF0863"/>
    <w:rsid w:val="00FF3DCD"/>
    <w:rsid w:val="00FF4ABA"/>
    <w:rsid w:val="00FF65D8"/>
    <w:rsid w:val="00FF68CB"/>
    <w:rsid w:val="00FF6E4B"/>
    <w:rsid w:val="00FF7CEF"/>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uiPriority w:val="99"/>
    <w:rsid w:val="006C7B3B"/>
    <w:rPr>
      <w:sz w:val="16"/>
      <w:szCs w:val="16"/>
    </w:rPr>
  </w:style>
  <w:style w:type="paragraph" w:styleId="CommentText">
    <w:name w:val="annotation text"/>
    <w:basedOn w:val="Normal"/>
    <w:link w:val="CommentTextChar"/>
    <w:uiPriority w:val="99"/>
    <w:rsid w:val="006C7B3B"/>
    <w:rPr>
      <w:sz w:val="20"/>
    </w:rPr>
  </w:style>
  <w:style w:type="character" w:customStyle="1" w:styleId="CommentTextChar">
    <w:name w:val="Comment Text Char"/>
    <w:basedOn w:val="DefaultParagraphFont"/>
    <w:link w:val="CommentText"/>
    <w:uiPriority w:val="99"/>
    <w:rsid w:val="006C7B3B"/>
    <w:rPr>
      <w:rFonts w:ascii="Arial" w:hAnsi="Arial"/>
      <w:lang w:eastAsia="en-US"/>
    </w:rPr>
  </w:style>
  <w:style w:type="paragraph" w:styleId="CommentSubject">
    <w:name w:val="annotation subject"/>
    <w:basedOn w:val="CommentText"/>
    <w:next w:val="CommentText"/>
    <w:link w:val="CommentSubjectChar"/>
    <w:semiHidden/>
    <w:unhideWhenUsed/>
    <w:rsid w:val="00B02DDA"/>
    <w:rPr>
      <w:b/>
      <w:bCs/>
    </w:rPr>
  </w:style>
  <w:style w:type="character" w:customStyle="1" w:styleId="CommentSubjectChar">
    <w:name w:val="Comment Subject Char"/>
    <w:basedOn w:val="CommentTextChar"/>
    <w:link w:val="CommentSubject"/>
    <w:semiHidden/>
    <w:rsid w:val="00B02DDA"/>
    <w:rPr>
      <w:rFonts w:ascii="Arial" w:hAnsi="Arial"/>
      <w:b/>
      <w:bCs/>
      <w:lang w:eastAsia="en-US"/>
    </w:rPr>
  </w:style>
  <w:style w:type="paragraph" w:styleId="Revision">
    <w:name w:val="Revision"/>
    <w:hidden/>
    <w:uiPriority w:val="99"/>
    <w:semiHidden/>
    <w:rsid w:val="00C13238"/>
    <w:rPr>
      <w:rFonts w:ascii="Arial" w:hAnsi="Arial"/>
      <w:sz w:val="24"/>
      <w:lang w:eastAsia="en-US"/>
    </w:rPr>
  </w:style>
  <w:style w:type="paragraph" w:customStyle="1" w:styleId="CharCharCharChar0">
    <w:name w:val="Char Char Char Char"/>
    <w:basedOn w:val="Normal"/>
    <w:locked/>
    <w:rsid w:val="00C9384D"/>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978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2945558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3463524">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51477658">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25274918">
      <w:bodyDiv w:val="1"/>
      <w:marLeft w:val="0"/>
      <w:marRight w:val="0"/>
      <w:marTop w:val="0"/>
      <w:marBottom w:val="0"/>
      <w:divBdr>
        <w:top w:val="none" w:sz="0" w:space="0" w:color="auto"/>
        <w:left w:val="none" w:sz="0" w:space="0" w:color="auto"/>
        <w:bottom w:val="none" w:sz="0" w:space="0" w:color="auto"/>
        <w:right w:val="none" w:sz="0" w:space="0" w:color="auto"/>
      </w:divBdr>
    </w:div>
    <w:div w:id="1302271018">
      <w:bodyDiv w:val="1"/>
      <w:marLeft w:val="0"/>
      <w:marRight w:val="0"/>
      <w:marTop w:val="0"/>
      <w:marBottom w:val="0"/>
      <w:divBdr>
        <w:top w:val="none" w:sz="0" w:space="0" w:color="auto"/>
        <w:left w:val="none" w:sz="0" w:space="0" w:color="auto"/>
        <w:bottom w:val="none" w:sz="0" w:space="0" w:color="auto"/>
        <w:right w:val="none" w:sz="0" w:space="0" w:color="auto"/>
      </w:divBdr>
    </w:div>
    <w:div w:id="1306423544">
      <w:bodyDiv w:val="1"/>
      <w:marLeft w:val="0"/>
      <w:marRight w:val="0"/>
      <w:marTop w:val="0"/>
      <w:marBottom w:val="0"/>
      <w:divBdr>
        <w:top w:val="none" w:sz="0" w:space="0" w:color="auto"/>
        <w:left w:val="none" w:sz="0" w:space="0" w:color="auto"/>
        <w:bottom w:val="none" w:sz="0" w:space="0" w:color="auto"/>
        <w:right w:val="none" w:sz="0" w:space="0" w:color="auto"/>
      </w:divBdr>
    </w:div>
    <w:div w:id="1328048358">
      <w:bodyDiv w:val="1"/>
      <w:marLeft w:val="0"/>
      <w:marRight w:val="0"/>
      <w:marTop w:val="0"/>
      <w:marBottom w:val="0"/>
      <w:divBdr>
        <w:top w:val="none" w:sz="0" w:space="0" w:color="auto"/>
        <w:left w:val="none" w:sz="0" w:space="0" w:color="auto"/>
        <w:bottom w:val="none" w:sz="0" w:space="0" w:color="auto"/>
        <w:right w:val="none" w:sz="0" w:space="0" w:color="auto"/>
      </w:divBdr>
    </w:div>
    <w:div w:id="1432891054">
      <w:bodyDiv w:val="1"/>
      <w:marLeft w:val="0"/>
      <w:marRight w:val="0"/>
      <w:marTop w:val="0"/>
      <w:marBottom w:val="0"/>
      <w:divBdr>
        <w:top w:val="none" w:sz="0" w:space="0" w:color="auto"/>
        <w:left w:val="none" w:sz="0" w:space="0" w:color="auto"/>
        <w:bottom w:val="none" w:sz="0" w:space="0" w:color="auto"/>
        <w:right w:val="none" w:sz="0" w:space="0" w:color="auto"/>
      </w:divBdr>
    </w:div>
    <w:div w:id="1517227437">
      <w:bodyDiv w:val="1"/>
      <w:marLeft w:val="0"/>
      <w:marRight w:val="0"/>
      <w:marTop w:val="0"/>
      <w:marBottom w:val="0"/>
      <w:divBdr>
        <w:top w:val="none" w:sz="0" w:space="0" w:color="auto"/>
        <w:left w:val="none" w:sz="0" w:space="0" w:color="auto"/>
        <w:bottom w:val="none" w:sz="0" w:space="0" w:color="auto"/>
        <w:right w:val="none" w:sz="0" w:space="0" w:color="auto"/>
      </w:divBdr>
    </w:div>
    <w:div w:id="1636568326">
      <w:bodyDiv w:val="1"/>
      <w:marLeft w:val="0"/>
      <w:marRight w:val="0"/>
      <w:marTop w:val="0"/>
      <w:marBottom w:val="0"/>
      <w:divBdr>
        <w:top w:val="none" w:sz="0" w:space="0" w:color="auto"/>
        <w:left w:val="none" w:sz="0" w:space="0" w:color="auto"/>
        <w:bottom w:val="none" w:sz="0" w:space="0" w:color="auto"/>
        <w:right w:val="none" w:sz="0" w:space="0" w:color="auto"/>
      </w:divBdr>
    </w:div>
    <w:div w:id="1730373347">
      <w:bodyDiv w:val="1"/>
      <w:marLeft w:val="0"/>
      <w:marRight w:val="0"/>
      <w:marTop w:val="0"/>
      <w:marBottom w:val="0"/>
      <w:divBdr>
        <w:top w:val="none" w:sz="0" w:space="0" w:color="auto"/>
        <w:left w:val="none" w:sz="0" w:space="0" w:color="auto"/>
        <w:bottom w:val="none" w:sz="0" w:space="0" w:color="auto"/>
        <w:right w:val="none" w:sz="0" w:space="0" w:color="auto"/>
      </w:divBdr>
    </w:div>
    <w:div w:id="2046715304">
      <w:bodyDiv w:val="1"/>
      <w:marLeft w:val="0"/>
      <w:marRight w:val="0"/>
      <w:marTop w:val="0"/>
      <w:marBottom w:val="0"/>
      <w:divBdr>
        <w:top w:val="none" w:sz="0" w:space="0" w:color="auto"/>
        <w:left w:val="none" w:sz="0" w:space="0" w:color="auto"/>
        <w:bottom w:val="none" w:sz="0" w:space="0" w:color="auto"/>
        <w:right w:val="none" w:sz="0" w:space="0" w:color="auto"/>
      </w:divBdr>
    </w:div>
    <w:div w:id="21286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crodde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cefb6ece8964c3a943aa73798a96817e">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cd6c1a1d42fa7e18ab3b540fce25066"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A0BC786D-2C9E-4031-A55A-986F78C2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A2342-88DA-4661-B01D-B86980BA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4558</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15</cp:revision>
  <cp:lastPrinted>2014-10-31T16:34:00Z</cp:lastPrinted>
  <dcterms:created xsi:type="dcterms:W3CDTF">2021-10-11T08:58:00Z</dcterms:created>
  <dcterms:modified xsi:type="dcterms:W3CDTF">2021-10-13T13:11:00Z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